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2"/>
          <w:szCs w:val="32"/>
        </w:rPr>
      </w:pPr>
      <w:r>
        <w:rPr>
          <w:rFonts w:hint="eastAsia" w:ascii="Times New Roman" w:hAnsi="Times New Roman" w:cs="宋体"/>
          <w:b/>
          <w:sz w:val="32"/>
          <w:szCs w:val="32"/>
          <w:lang w:bidi="ar"/>
        </w:rPr>
        <w:t xml:space="preserve">项目名称：</w:t>
      </w:r>
      <w:bookmarkStart w:id="2" w:name="OLE_LINK13"/>
      <w:r>
        <w:rPr>
          <w:rFonts w:hint="eastAsia" w:ascii="Times New Roman" w:hAnsi="Times New Roman"/>
          <w:b/>
          <w:sz w:val="32"/>
          <w:szCs w:val="32"/>
          <w:lang w:bidi="ar"/>
        </w:rPr>
        <w:t xml:space="preserve">宿迁市救助管理站物业服务采购项目</w:t>
      </w:r>
      <w:bookmarkEnd w:id="2"/>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firstLine="1506"/>
        <w:jc w:val="left"/>
        <w:rPr>
          <w:rFonts w:hint="eastAsia" w:ascii="Times New Roman" w:hAnsi="Times New Roman" w:eastAsia="宋体" w:cs="宋体"/>
          <w:b/>
          <w:sz w:val="32"/>
          <w:szCs w:val="32"/>
          <w:lang w:eastAsia="zh-CN" w:bidi="ar"/>
        </w:rPr>
      </w:pPr>
      <w:r>
        <w:rPr>
          <w:rFonts w:hint="eastAsia" w:ascii="Times New Roman" w:hAnsi="Times New Roman" w:cs="宋体"/>
          <w:b/>
          <w:sz w:val="32"/>
          <w:szCs w:val="32"/>
          <w:lang w:bidi="ar"/>
        </w:rPr>
        <w:t xml:space="preserve">项目编号：</w:t>
      </w:r>
      <w:r>
        <w:rPr>
          <w:rFonts w:hint="eastAsia" w:ascii="Times New Roman" w:hAnsi="Times New Roman"/>
          <w:b/>
          <w:sz w:val="32"/>
          <w:szCs w:val="32"/>
          <w:lang w:eastAsia="zh-CN" w:bidi="ar"/>
        </w:rPr>
        <w:t xml:space="preserve">JSZC-321300-JZCG-G2025-0097</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0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jc w:val="cente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宿迁市救助管理站</w:t>
            </w:r>
            <w:r/>
          </w:p>
        </w:tc>
      </w:tr>
      <w:tr>
        <w:trPr>
          <w:jc w:val="cente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val="en-US" w:eastAsia="zh-CN" w:bidi="ar"/>
        </w:rPr>
        <w:t xml:space="preserve">6</w:t>
      </w:r>
      <w:r>
        <w:rPr>
          <w:rFonts w:hint="eastAsia" w:ascii="Times New Roman" w:hAnsi="Times New Roman" w:cs="宋体"/>
          <w:b/>
          <w:sz w:val="32"/>
          <w:szCs w:val="24"/>
          <w:lang w:bidi="ar"/>
        </w:rPr>
        <w:t xml:space="preserve">年1月</w:t>
      </w:r>
      <w:r>
        <w:rPr>
          <w:rFonts w:hint="eastAsia" w:ascii="Times New Roman" w:hAnsi="Times New Roman" w:cs="宋体"/>
          <w:b/>
          <w:sz w:val="32"/>
          <w:szCs w:val="24"/>
          <w:lang w:val="en-US" w:eastAsia="zh-CN" w:bidi="ar"/>
        </w:rPr>
        <w:t xml:space="preserve">5</w:t>
      </w:r>
      <w:r>
        <w:rPr>
          <w:rFonts w:hint="eastAsia" w:ascii="Times New Roman" w:hAnsi="Times New Roman"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480" w:after="480" w:line="900" w:lineRule="exact"/>
        <w:rPr>
          <w:b/>
          <w:sz w:val="44"/>
          <w:szCs w:val="44"/>
        </w:rPr>
      </w:pPr>
      <w:r>
        <w:rPr>
          <w:rFonts w:hint="eastAsia"/>
          <w:b/>
          <w:sz w:val="44"/>
          <w:szCs w:val="44"/>
        </w:rPr>
        <w:t xml:space="preserve">目 录</w:t>
      </w:r>
      <w:r/>
    </w:p>
    <w:p>
      <w:pPr>
        <w:pStyle w:val="894"/>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94"/>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94"/>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94"/>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94"/>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94"/>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700" w:lineRule="exact"/>
      </w:pPr>
      <w:r>
        <w:rPr>
          <w:rFonts w:ascii="Times New Roman" w:hAnsi="Times New Roman" w:eastAsia="黑体"/>
          <w:sz w:val="32"/>
        </w:rPr>
        <w:fldChar w:fldCharType="end"/>
      </w:r>
      <w:r/>
    </w:p>
    <w:p>
      <w:r/>
      <w:r/>
    </w:p>
    <w:p>
      <w:r/>
      <w:r/>
    </w:p>
    <w:p>
      <w:r/>
      <w:r/>
    </w:p>
    <w:p>
      <w:r/>
      <w:r/>
    </w:p>
    <w:p>
      <w:r/>
      <w:r/>
    </w:p>
    <w:p>
      <w:r/>
      <w:r/>
    </w:p>
    <w:p>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89"/>
      <w:r/>
      <w:bookmarkStart w:id="4" w:name="_Toc81575152"/>
      <w:r/>
      <w:r/>
    </w:p>
    <w:p>
      <w:pPr>
        <w:pStyle w:val="835"/>
        <w:jc w:val="center"/>
        <w:spacing w:before="200"/>
        <w:rPr>
          <w:rFonts w:eastAsia="黑体"/>
          <w:sz w:val="44"/>
        </w:rPr>
      </w:pPr>
      <w:r/>
      <w:bookmarkStart w:id="5" w:name="_Toc25722"/>
      <w:r/>
      <w:bookmarkStart w:id="6" w:name="_Toc30943"/>
      <w:r/>
      <w:bookmarkStart w:id="7" w:name="_Toc8997"/>
      <w:r>
        <w:rPr>
          <w:rFonts w:hint="eastAsia" w:eastAsia="黑体"/>
          <w:sz w:val="44"/>
        </w:rPr>
        <w:t xml:space="preserve">第一章  投标邀请</w:t>
      </w:r>
      <w:bookmarkEnd w:id="3"/>
      <w:r/>
      <w:bookmarkEnd w:id="4"/>
      <w:r/>
      <w:bookmarkEnd w:id="5"/>
      <w:r/>
      <w:bookmarkEnd w:id="6"/>
      <w:r/>
      <w:bookmarkEnd w:id="7"/>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rPr>
        <w:t xml:space="preserve">宿迁市救助管理站</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宿迁市救助管理站物业服务采购项目(</w:t>
      </w:r>
      <w:r>
        <w:rPr>
          <w:rFonts w:hint="eastAsia" w:ascii="宋体" w:hAnsi="宋体"/>
          <w:sz w:val="24"/>
          <w:szCs w:val="24"/>
          <w:u w:val="single"/>
          <w:lang w:eastAsia="zh-CN"/>
        </w:rPr>
        <w:t xml:space="preserve">JSZC-321300-JZCG-G2025-0097</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宿迁市救助管理站物业服务采购项目</w:t>
      </w:r>
      <w:r>
        <w:rPr>
          <w:rFonts w:hint="eastAsia" w:ascii="Times New Roman" w:hAnsi="Times New Roman" w:cs="方正仿宋_GBK"/>
          <w:sz w:val="24"/>
          <w:szCs w:val="24"/>
        </w:rPr>
        <w:t xml:space="preserve">招标项目的潜在投标人可在</w:t>
      </w:r>
      <w:r>
        <w:rPr>
          <w:rFonts w:hint="eastAsia" w:ascii="Times New Roman" w:hAnsi="Times New Roman" w:cs="方正仿宋_GBK"/>
          <w:sz w:val="24"/>
          <w:szCs w:val="24"/>
          <w:u w:val="single"/>
        </w:rPr>
        <w:t xml:space="preserve">“江苏政府采购网”、</w:t>
      </w:r>
      <w:r>
        <w:rPr>
          <w:rFonts w:hint="eastAsia" w:ascii="Times New Roman" w:hAnsi="Times New Roman" w:cs="方正仿宋_GBK"/>
          <w:sz w:val="24"/>
          <w:szCs w:val="24"/>
          <w:u w:val="single"/>
        </w:rPr>
        <w:t xml:space="preserve">“宿迁市政府采购网”</w:t>
      </w:r>
      <w:r>
        <w:rPr>
          <w:rFonts w:hint="eastAsia" w:ascii="Times New Roman" w:hAnsi="Times New Roman" w:cs="方正仿宋_GBK"/>
          <w:sz w:val="24"/>
          <w:szCs w:val="24"/>
          <w:u w:val="single"/>
        </w:rPr>
        <w:t xml:space="preserve">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年1月2</w:t>
      </w:r>
      <w:r>
        <w:rPr>
          <w:rFonts w:hint="eastAsia" w:ascii="宋体" w:hAnsi="宋体"/>
          <w:bCs/>
          <w:sz w:val="24"/>
          <w:szCs w:val="24"/>
          <w:u w:val="single"/>
        </w:rPr>
        <w:t xml:space="preserve">9日09点30分（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36"/>
        <w:ind w:firstLine="643"/>
        <w:spacing w:before="0" w:after="0" w:line="480" w:lineRule="exact"/>
        <w:rPr>
          <w:rFonts w:eastAsia="宋体" w:cs="Arial"/>
          <w:bCs/>
          <w:szCs w:val="22"/>
        </w:rPr>
      </w:pPr>
      <w:r/>
      <w:bookmarkStart w:id="8" w:name="_Toc28359079"/>
      <w:r/>
      <w:bookmarkStart w:id="9" w:name="_Toc35393621"/>
      <w:r/>
      <w:bookmarkStart w:id="10" w:name="_Toc35393790"/>
      <w:r/>
      <w:bookmarkStart w:id="11" w:name="_Toc2584"/>
      <w:r/>
      <w:bookmarkStart w:id="12" w:name="_Toc38985263"/>
      <w:r/>
      <w:bookmarkStart w:id="13" w:name="_Toc28359002"/>
      <w:r/>
      <w:bookmarkStart w:id="14" w:name="_Hlk24379207"/>
      <w:r>
        <w:rPr>
          <w:rFonts w:hint="eastAsia" w:eastAsia="宋体" w:cs="Arial"/>
          <w:bCs/>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JSZC-321300-JZCG-G2025-0097</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4"/>
      <w:r>
        <w:rPr>
          <w:rFonts w:hint="eastAsia" w:ascii="Times New Roman" w:hAnsi="Times New Roman" w:cs="仿宋"/>
          <w:sz w:val="24"/>
          <w:szCs w:val="24"/>
        </w:rPr>
        <w:t xml:space="preserve">宿迁市救助管理站物业服务采购项目</w:t>
      </w:r>
      <w:r/>
    </w:p>
    <w:p>
      <w:pPr>
        <w:ind w:firstLine="480"/>
        <w:spacing w:line="480" w:lineRule="exact"/>
        <w:rPr>
          <w:rFonts w:hint="eastAsia" w:ascii="仿宋" w:hAnsi="仿宋"/>
          <w:color w:val="000000"/>
          <w:sz w:val="24"/>
          <w:szCs w:val="24"/>
        </w:rPr>
      </w:pPr>
      <w:r>
        <w:rPr>
          <w:rFonts w:hint="eastAsia" w:ascii="Times New Roman" w:hAnsi="Times New Roman" w:cs="仿宋"/>
          <w:sz w:val="24"/>
          <w:szCs w:val="24"/>
        </w:rPr>
        <w:t xml:space="preserve">3.预算金额：44.5</w:t>
      </w:r>
      <w:r>
        <w:rPr>
          <w:rFonts w:hint="eastAsia" w:ascii="Times New Roman" w:hAnsi="Times New Roman" w:cs="仿宋"/>
          <w:color w:val="000000"/>
          <w:sz w:val="24"/>
          <w:szCs w:val="24"/>
        </w:rPr>
        <w:t xml:space="preserve">万元</w:t>
      </w:r>
      <w:r/>
    </w:p>
    <w:p>
      <w:pPr>
        <w:ind w:firstLine="480"/>
        <w:spacing w:line="480" w:lineRule="exact"/>
        <w:rPr>
          <w:rFonts w:hint="eastAsia" w:ascii="仿宋" w:hAnsi="仿宋"/>
          <w:color w:val="000000"/>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5" w:name="EB6c1f3d39c6914ae1bada8ccaa777b37a"/>
      <w:r>
        <w:rPr>
          <w:rFonts w:hint="eastAsia" w:ascii="Times New Roman" w:hAnsi="Times New Roman" w:cs="仿宋"/>
          <w:sz w:val="24"/>
          <w:szCs w:val="24"/>
        </w:rPr>
        <w:t xml:space="preserve">44.5</w:t>
      </w:r>
      <w:r>
        <w:rPr>
          <w:rFonts w:hint="eastAsia" w:ascii="Times New Roman" w:hAnsi="Times New Roman" w:cs="仿宋"/>
          <w:color w:val="000000"/>
          <w:sz w:val="24"/>
          <w:szCs w:val="24"/>
        </w:rPr>
        <w:t xml:space="preserve">万元</w:t>
      </w:r>
      <w:bookmarkEnd w:id="15"/>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5.采购需求（简介）：宿迁市救助管理站物业服务采购项目，具体内容详见采购需求。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36"/>
        <w:ind w:firstLine="643"/>
        <w:spacing w:before="0" w:after="0" w:line="480" w:lineRule="exact"/>
        <w:rPr>
          <w:rFonts w:eastAsia="宋体" w:cs="Arial"/>
          <w:bCs/>
          <w:szCs w:val="22"/>
        </w:rPr>
      </w:pPr>
      <w:r/>
      <w:bookmarkStart w:id="16" w:name="_Toc35393622"/>
      <w:r/>
      <w:bookmarkStart w:id="17" w:name="_Toc28359003"/>
      <w:r/>
      <w:bookmarkStart w:id="18" w:name="_Toc35393791"/>
      <w:r/>
      <w:bookmarkStart w:id="19" w:name="_Toc27291"/>
      <w:r/>
      <w:bookmarkStart w:id="20" w:name="_Toc28359080"/>
      <w:r/>
      <w:bookmarkStart w:id="21" w:name="_Toc38985264"/>
      <w:r>
        <w:rPr>
          <w:rFonts w:hint="eastAsia" w:eastAsia="宋体" w:cs="Arial"/>
          <w:bCs/>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ascii="Times New Roman" w:hAnsi="Times New Roman" w:cs="仿宋"/>
          <w:sz w:val="24"/>
          <w:szCs w:val="24"/>
        </w:rPr>
      </w:pPr>
      <w:r/>
      <w:bookmarkStart w:id="22" w:name="_Toc35393792"/>
      <w:r/>
      <w:bookmarkStart w:id="23" w:name="_Toc38985265"/>
      <w:r/>
      <w:bookmarkStart w:id="24" w:name="_Toc28359004"/>
      <w:r/>
      <w:bookmarkStart w:id="25" w:name="_Toc35393623"/>
      <w:r/>
      <w:bookmarkStart w:id="26" w:name="_Toc28359081"/>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36"/>
        <w:ind w:firstLine="643"/>
        <w:spacing w:before="0" w:after="0" w:line="480" w:lineRule="exact"/>
        <w:rPr>
          <w:rFonts w:eastAsia="宋体" w:cs="Arial"/>
          <w:bCs/>
          <w:szCs w:val="22"/>
        </w:rPr>
      </w:pPr>
      <w:r/>
      <w:bookmarkStart w:id="27" w:name="_Toc22204"/>
      <w:r>
        <w:rPr>
          <w:rFonts w:hint="eastAsia" w:eastAsia="宋体" w:cs="Arial"/>
          <w:bCs/>
          <w:szCs w:val="22"/>
        </w:rPr>
        <w:t xml:space="preserve">三、获取招标文件</w:t>
      </w:r>
      <w:bookmarkEnd w:id="22"/>
      <w:r/>
      <w:bookmarkEnd w:id="23"/>
      <w:r/>
      <w:bookmarkEnd w:id="24"/>
      <w:r/>
      <w:bookmarkEnd w:id="25"/>
      <w:r/>
      <w:bookmarkEnd w:id="26"/>
      <w:r/>
      <w:bookmarkEnd w:id="27"/>
      <w:r/>
      <w:r/>
    </w:p>
    <w:p>
      <w:pPr>
        <w:ind w:firstLine="480"/>
        <w:spacing w:line="480" w:lineRule="exact"/>
        <w:rPr>
          <w:rFonts w:ascii="Times New Roman" w:hAnsi="Times New Roman" w:cs="仿宋"/>
          <w:sz w:val="24"/>
          <w:szCs w:val="24"/>
        </w:rPr>
      </w:pPr>
      <w:r/>
      <w:bookmarkStart w:id="28" w:name="_Toc28359005"/>
      <w:r/>
      <w:bookmarkStart w:id="29" w:name="_Toc28359082"/>
      <w:r/>
      <w:bookmarkStart w:id="30" w:name="_Toc38985266"/>
      <w:r/>
      <w:bookmarkStart w:id="31" w:name="_Toc35393793"/>
      <w:r/>
      <w:bookmarkStart w:id="32"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3" w:name="EB0c44ff4da61f4af989d119fe214be450"/>
      <w:r>
        <w:rPr>
          <w:rFonts w:hint="eastAsia" w:ascii="Times New Roman" w:hAnsi="Times New Roman" w:cs="仿宋"/>
          <w:sz w:val="24"/>
          <w:szCs w:val="24"/>
        </w:rPr>
        <w:t xml:space="preserve">3.本项目共分一个采购包。投标人参与多个采购包投标的，应按采购包分别获取招标文件。投标人未按要求获取招标文件，后果自负（其投标文件不予接受）。</w:t>
      </w:r>
      <w:bookmarkEnd w:id="33"/>
      <w:r/>
      <w:r/>
    </w:p>
    <w:p>
      <w:pPr>
        <w:pStyle w:val="836"/>
        <w:ind w:firstLine="643"/>
        <w:spacing w:before="0" w:after="0" w:line="480" w:lineRule="exact"/>
        <w:rPr>
          <w:rFonts w:eastAsia="宋体" w:cs="Arial"/>
          <w:bCs/>
          <w:szCs w:val="22"/>
        </w:rPr>
      </w:pPr>
      <w:r/>
      <w:bookmarkStart w:id="34" w:name="_Toc19148"/>
      <w:r>
        <w:rPr>
          <w:rFonts w:hint="eastAsia" w:eastAsia="宋体" w:cs="Arial"/>
          <w:bCs/>
          <w:szCs w:val="22"/>
        </w:rPr>
        <w:t xml:space="preserve">四、提交投标文件</w:t>
      </w:r>
      <w:bookmarkEnd w:id="28"/>
      <w:r/>
      <w:bookmarkEnd w:id="29"/>
      <w:r>
        <w:rPr>
          <w:rFonts w:hint="eastAsia" w:eastAsia="宋体" w:cs="Arial"/>
          <w:bCs/>
          <w:szCs w:val="22"/>
        </w:rPr>
        <w:t xml:space="preserve">截止时间、开标时间和地点</w:t>
      </w:r>
      <w:bookmarkEnd w:id="30"/>
      <w:r/>
      <w:bookmarkEnd w:id="31"/>
      <w:r/>
      <w:bookmarkEnd w:id="32"/>
      <w:r/>
      <w:bookmarkEnd w:id="3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1.提交投标文件截止时间、开标时间：2026年1月2</w:t>
      </w:r>
      <w:r>
        <w:rPr>
          <w:rFonts w:hint="eastAsia" w:ascii="Times New Roman" w:hAnsi="Times New Roman" w:cs="仿宋"/>
          <w:sz w:val="24"/>
          <w:szCs w:val="24"/>
        </w:rPr>
        <w:t xml:space="preserve">9日09点30分（北京时间）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36"/>
        <w:ind w:firstLine="643"/>
        <w:spacing w:before="0" w:after="0" w:line="480" w:lineRule="exact"/>
        <w:rPr>
          <w:rFonts w:eastAsia="宋体" w:cs="Arial"/>
          <w:bCs/>
          <w:szCs w:val="22"/>
        </w:rPr>
      </w:pPr>
      <w:r/>
      <w:bookmarkStart w:id="35" w:name="_Toc28359084"/>
      <w:r/>
      <w:bookmarkStart w:id="36" w:name="_Toc24820"/>
      <w:r/>
      <w:bookmarkStart w:id="37" w:name="_Toc28359007"/>
      <w:r/>
      <w:bookmarkStart w:id="38" w:name="_Toc35393794"/>
      <w:r/>
      <w:bookmarkStart w:id="39" w:name="_Toc38985267"/>
      <w:r/>
      <w:bookmarkStart w:id="40" w:name="_Toc35393625"/>
      <w:r>
        <w:rPr>
          <w:rFonts w:hint="eastAsia" w:eastAsia="宋体" w:cs="Arial"/>
          <w:bCs/>
          <w:szCs w:val="22"/>
        </w:rPr>
        <w:t xml:space="preserve">五、公告期限</w:t>
      </w:r>
      <w:bookmarkEnd w:id="35"/>
      <w:r/>
      <w:bookmarkEnd w:id="36"/>
      <w:r/>
      <w:bookmarkEnd w:id="37"/>
      <w:r/>
      <w:bookmarkEnd w:id="38"/>
      <w:r/>
      <w:bookmarkEnd w:id="39"/>
      <w:r/>
      <w:bookmarkEnd w:id="40"/>
      <w:r/>
      <w:r/>
    </w:p>
    <w:p>
      <w:pPr>
        <w:ind w:firstLine="480"/>
        <w:spacing w:line="480" w:lineRule="exact"/>
        <w:rPr>
          <w:rFonts w:ascii="Times New Roman" w:hAnsi="Times New Roman" w:cs="仿宋"/>
          <w:sz w:val="24"/>
          <w:szCs w:val="24"/>
        </w:rPr>
      </w:pPr>
      <w:r/>
      <w:bookmarkStart w:id="41" w:name="_Toc35393795"/>
      <w:r/>
      <w:bookmarkStart w:id="42" w:name="_Toc38985268"/>
      <w:r/>
      <w:bookmarkStart w:id="43" w:name="_Toc35393626"/>
      <w:r>
        <w:rPr>
          <w:rFonts w:hint="eastAsia" w:ascii="Times New Roman" w:hAnsi="Times New Roman" w:cs="仿宋"/>
          <w:sz w:val="24"/>
          <w:szCs w:val="24"/>
        </w:rPr>
        <w:t xml:space="preserve">招标公告及招标文件公告期限为自本公告发布之日起5个工作日。</w:t>
      </w:r>
      <w:r/>
    </w:p>
    <w:p>
      <w:pPr>
        <w:pStyle w:val="836"/>
        <w:ind w:firstLine="643"/>
        <w:spacing w:before="0" w:after="0" w:line="480" w:lineRule="exact"/>
        <w:rPr>
          <w:rFonts w:eastAsia="宋体" w:cs="Arial"/>
          <w:bCs/>
          <w:szCs w:val="22"/>
        </w:rPr>
      </w:pPr>
      <w:r/>
      <w:bookmarkStart w:id="44" w:name="_Toc13415"/>
      <w:r>
        <w:rPr>
          <w:rFonts w:hint="eastAsia" w:eastAsia="宋体" w:cs="Arial"/>
          <w:bCs/>
          <w:szCs w:val="22"/>
        </w:rPr>
        <w:t xml:space="preserve">六、其他补充事宜</w:t>
      </w:r>
      <w:bookmarkEnd w:id="41"/>
      <w:r/>
      <w:bookmarkEnd w:id="42"/>
      <w:r/>
      <w:bookmarkEnd w:id="43"/>
      <w:r/>
      <w:bookmarkEnd w:id="44"/>
      <w:r/>
      <w:r/>
    </w:p>
    <w:p>
      <w:pPr>
        <w:ind w:firstLine="480"/>
        <w:spacing w:line="480" w:lineRule="exact"/>
        <w:rPr>
          <w:rFonts w:ascii="Times New Roman" w:hAnsi="Times New Roman" w:cs="仿宋"/>
          <w:sz w:val="24"/>
          <w:szCs w:val="24"/>
        </w:rPr>
      </w:pPr>
      <w:r/>
      <w:bookmarkStart w:id="45" w:name="EB64e1f522fd8c43fcb4d3ba471386b3e7"/>
      <w:r/>
      <w:bookmarkStart w:id="46" w:name="_Toc35393796"/>
      <w:r/>
      <w:bookmarkStart w:id="47" w:name="_Toc35393627"/>
      <w:r/>
      <w:bookmarkStart w:id="48" w:name="_Toc38985269"/>
      <w:r/>
      <w:bookmarkStart w:id="49" w:name="_Toc28359085"/>
      <w:r/>
      <w:bookmarkStart w:id="50" w:name="_Toc28359008"/>
      <w:r>
        <w:rPr>
          <w:rFonts w:hint="eastAsia" w:ascii="Times New Roman" w:hAnsi="Times New Roman" w:cs="仿宋"/>
          <w:sz w:val="24"/>
          <w:szCs w:val="24"/>
        </w:rPr>
        <w:t xml:space="preserve">1.招标公告发布媒体：</w:t>
      </w:r>
      <w:bookmarkStart w:id="51" w:name="OLE_LINK3"/>
      <w:r>
        <w:rPr>
          <w:rFonts w:hint="eastAsia" w:ascii="Times New Roman" w:hAnsi="Times New Roman" w:cs="仿宋"/>
          <w:sz w:val="24"/>
          <w:szCs w:val="24"/>
        </w:rPr>
        <w:t xml:space="preserve">江苏政府采购网</w:t>
      </w:r>
      <w:bookmarkEnd w:id="51"/>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3.宿迁地区“苏采云”系统技术支持客服电话：0527-84225125、0519-86722806。</w:t>
      </w:r>
      <w:bookmarkEnd w:id="45"/>
      <w:r/>
      <w:r/>
    </w:p>
    <w:p>
      <w:pPr>
        <w:ind w:firstLine="480"/>
        <w:spacing w:line="480" w:lineRule="exact"/>
        <w:rPr>
          <w:rFonts w:ascii="Times New Roman" w:hAnsi="Times New Roman" w:cs="仿宋"/>
          <w:sz w:val="24"/>
        </w:rPr>
      </w:pPr>
      <w:r/>
      <w:bookmarkStart w:id="52"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w:t>
      </w:r>
      <w:r>
        <w:rPr>
          <w:rFonts w:hint="eastAsia" w:ascii="Times New Roman" w:hAnsi="Times New Roman" w:cs="仿宋"/>
          <w:sz w:val="24"/>
        </w:rPr>
        <w:t xml:space="preserve">：0527-84363063。</w:t>
      </w:r>
      <w:r/>
    </w:p>
    <w:p>
      <w:pPr>
        <w:pStyle w:val="83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宿迁市救助管理站</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宿迁市宿豫区嘉陵江路1号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高建   </w:t>
      </w:r>
      <w:r/>
    </w:p>
    <w:p>
      <w:pPr>
        <w:ind w:firstLine="480"/>
        <w:jc w:val="left"/>
        <w:spacing w:line="480" w:lineRule="exact"/>
        <w:rPr>
          <w:rFonts w:hint="default" w:ascii="宋体" w:hAnsi="宋体" w:eastAsia="宋体"/>
          <w:sz w:val="24"/>
          <w:szCs w:val="24"/>
          <w:u w:val="single"/>
          <w:lang w:val="en-US" w:eastAsia="zh-CN"/>
        </w:rPr>
      </w:pPr>
      <w:r>
        <w:rPr>
          <w:rFonts w:hint="eastAsia" w:ascii="宋体" w:hAnsi="宋体"/>
          <w:sz w:val="24"/>
          <w:szCs w:val="24"/>
        </w:rPr>
        <w:t xml:space="preserve">联系电话：</w:t>
      </w:r>
      <w:bookmarkStart w:id="53" w:name="_Toc28359009"/>
      <w:r/>
      <w:bookmarkStart w:id="54" w:name="_Toc28359086"/>
      <w:r>
        <w:rPr>
          <w:rFonts w:hint="eastAsia" w:ascii="宋体" w:hAnsi="宋体"/>
          <w:sz w:val="24"/>
          <w:szCs w:val="24"/>
          <w:u w:val="single"/>
          <w:lang w:val="en-US" w:eastAsia="zh-CN"/>
        </w:rPr>
        <w:t xml:space="preserve">0527-80986067</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3"/>
      <w:r/>
      <w:bookmarkEnd w:id="54"/>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hint="eastAsia" w:ascii="宋体" w:hAnsi="宋体"/>
          <w:color w:val="000000"/>
          <w:sz w:val="24"/>
          <w:szCs w:val="24"/>
          <w:u w:val="single"/>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严函         </w:t>
      </w:r>
      <w:r/>
    </w:p>
    <w:p>
      <w:pPr>
        <w:ind w:firstLine="480"/>
        <w:spacing w:line="480" w:lineRule="exact"/>
        <w:rPr>
          <w:rFonts w:ascii="仿宋_GB2312" w:eastAsia="仿宋_GB2312"/>
          <w:color w:val="000000"/>
          <w:sz w:val="24"/>
          <w:u w:val="single"/>
        </w:rPr>
      </w:pPr>
      <w:r>
        <w:rPr>
          <w:rFonts w:hint="eastAsia" w:ascii="宋体" w:hAnsi="宋体"/>
          <w:color w:val="000000"/>
          <w:sz w:val="24"/>
          <w:szCs w:val="24"/>
        </w:rPr>
        <w:t xml:space="preserve">联系方式：</w:t>
      </w:r>
      <w:bookmarkStart w:id="55" w:name="_Toc28359010"/>
      <w:r/>
      <w:bookmarkStart w:id="56" w:name="_Toc28359087"/>
      <w:r>
        <w:rPr>
          <w:rFonts w:hint="eastAsia" w:ascii="宋体" w:hAnsi="宋体"/>
          <w:color w:val="000000"/>
          <w:sz w:val="24"/>
          <w:szCs w:val="24"/>
          <w:u w:val="single"/>
        </w:rPr>
        <w:t xml:space="preserve">0527-8439603</w:t>
      </w:r>
      <w:bookmarkEnd w:id="55"/>
      <w:r/>
      <w:bookmarkEnd w:id="56"/>
      <w:r>
        <w:rPr>
          <w:rFonts w:hint="eastAsia" w:ascii="宋体" w:hAnsi="宋体"/>
          <w:color w:val="000000"/>
          <w:sz w:val="24"/>
          <w:szCs w:val="24"/>
          <w:u w:val="single"/>
        </w:rPr>
        <w:t xml:space="preserve">5 </w:t>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7" w:name="_Toc15265"/>
      <w:r/>
      <w:bookmarkStart w:id="58" w:name="_Toc11687"/>
      <w:r/>
      <w:bookmarkStart w:id="59" w:name="_Toc3314"/>
      <w:r/>
      <w:bookmarkStart w:id="60" w:name="_Toc81575190"/>
      <w:r/>
      <w:bookmarkStart w:id="61" w:name="_Toc81575153"/>
      <w:r>
        <w:rPr>
          <w:rFonts w:hint="eastAsia" w:eastAsia="黑体"/>
          <w:sz w:val="44"/>
        </w:rPr>
        <w:t xml:space="preserve">第二章  投标人须知</w:t>
      </w:r>
      <w:bookmarkEnd w:id="57"/>
      <w:r/>
      <w:bookmarkEnd w:id="58"/>
      <w:r/>
      <w:bookmarkEnd w:id="59"/>
      <w:r/>
      <w:bookmarkEnd w:id="60"/>
      <w:r/>
      <w:bookmarkEnd w:id="61"/>
      <w:r/>
      <w:r/>
    </w:p>
    <w:p>
      <w:pPr>
        <w:pStyle w:val="836"/>
        <w:spacing w:before="0" w:after="120" w:line="520" w:lineRule="exact"/>
        <w:rPr>
          <w:rFonts w:eastAsia="宋体" w:cs="Arial"/>
          <w:bCs/>
          <w:szCs w:val="22"/>
        </w:rPr>
      </w:pPr>
      <w:r/>
      <w:bookmarkStart w:id="62" w:name="_Toc4529"/>
      <w:r>
        <w:rPr>
          <w:rFonts w:hint="eastAsia" w:eastAsia="宋体" w:cs="Arial"/>
          <w:bCs/>
          <w:szCs w:val="22"/>
        </w:rPr>
        <w:t xml:space="preserve">投标人须知前附表：</w:t>
      </w:r>
      <w:bookmarkEnd w:id="62"/>
      <w:r/>
      <w:r/>
    </w:p>
    <w:tbl>
      <w:tblPr>
        <w:tblStyle w:val="809"/>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3" w:name="_Toc29262"/>
            <w:r/>
            <w:bookmarkStart w:id="64" w:name="_Toc81575191"/>
            <w:r/>
            <w:bookmarkStart w:id="65"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6" w:name="EB9a5853ee094f4f0ea6ec3169265f6f2c"/>
            <w:r>
              <w:rPr>
                <w:rFonts w:hint="eastAsia" w:ascii="Times New Roman" w:hAnsi="Times New Roman" w:cs="仿宋"/>
                <w:sz w:val="24"/>
                <w:szCs w:val="24"/>
              </w:rPr>
              <w:t xml:space="preserve">属性按以下第</w:t>
            </w:r>
            <w:bookmarkEnd w:id="66"/>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7" w:name="EBd5c6c026f9674c39b21b31ecd0c1e7fa"/>
            <w:r>
              <w:rPr>
                <w:rFonts w:hint="eastAsia" w:ascii="Times New Roman" w:hAnsi="Times New Roman" w:cs="仿宋"/>
                <w:sz w:val="24"/>
                <w:szCs w:val="24"/>
              </w:rPr>
              <w:t xml:space="preserve">采购；2.</w:t>
            </w:r>
            <w:bookmarkEnd w:id="67"/>
            <w:r>
              <w:rPr>
                <w:rFonts w:hint="eastAsia" w:ascii="Times New Roman" w:hAnsi="Times New Roman" w:cs="仿宋"/>
                <w:sz w:val="24"/>
                <w:szCs w:val="24"/>
              </w:rPr>
              <w:t xml:space="preserve">服务</w:t>
            </w:r>
            <w:bookmarkStart w:id="68" w:name="EBf7d2a4f44ecb4166a93ea852e73be69f"/>
            <w:r>
              <w:rPr>
                <w:rFonts w:hint="eastAsia" w:ascii="Times New Roman" w:hAnsi="Times New Roman" w:cs="仿宋"/>
                <w:sz w:val="24"/>
                <w:szCs w:val="24"/>
              </w:rPr>
              <w:t xml:space="preserve">采购；3.</w:t>
            </w:r>
            <w:bookmarkEnd w:id="68"/>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9" w:name="EBd40b5fb42f2944a3b45e579ce3941f02"/>
            <w:r/>
            <w:bookmarkEnd w:id="69"/>
            <w:r>
              <w:rPr>
                <w:rFonts w:hint="eastAsia" w:ascii="Times New Roman" w:hAnsi="Times New Roman" w:cs="仿宋"/>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1 </w:t>
            </w:r>
            <w:r>
              <w:rPr>
                <w:rFonts w:hint="eastAsia" w:ascii="Times New Roman" w:hAnsi="Times New Roman" w:cs="仿宋"/>
                <w:sz w:val="24"/>
                <w:szCs w:val="24"/>
              </w:rPr>
              <w:t xml:space="preserve">种方式确定中标人：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1.采购人按规定在评标委员会推荐的中标候选人中确定中标人；</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ebac1462c5d9459fbda8a75065c2455d"/>
            <w:r>
              <w:rPr>
                <w:rFonts w:hint="eastAsia" w:ascii="Times New Roman" w:hAnsi="Times New Roman" w:cs="仿宋"/>
                <w:sz w:val="24"/>
                <w:szCs w:val="24"/>
              </w:rPr>
              <w:t xml:space="preserve">本项目的非主体、非关键性工作是否允许分包</w:t>
            </w:r>
            <w:bookmarkEnd w:id="70"/>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7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1"/>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2" w:name="EBfe735bb6fc4d4e5e9e350f940db98c5f"/>
            <w:r/>
            <w:bookmarkEnd w:id="72"/>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3"/>
            <w:r/>
            <w:bookmarkEnd w:id="64"/>
            <w:r/>
            <w:bookmarkEnd w:id="65"/>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836"/>
        <w:ind w:firstLine="321"/>
        <w:spacing w:before="0" w:after="0" w:line="480" w:lineRule="exact"/>
        <w:rPr>
          <w:rFonts w:eastAsia="宋体" w:cs="Arial"/>
          <w:bCs/>
          <w:szCs w:val="22"/>
        </w:rPr>
      </w:pPr>
      <w:r/>
      <w:bookmarkStart w:id="73" w:name="EB6eaaf474639940df900ef4965d71f450"/>
      <w:r/>
      <w:bookmarkEnd w:id="73"/>
      <w:r/>
      <w:bookmarkStart w:id="74" w:name="_Toc30953"/>
      <w:r/>
      <w:bookmarkStart w:id="75" w:name="_Toc81575155"/>
      <w:r/>
      <w:bookmarkStart w:id="76" w:name="_Toc81575192"/>
      <w:r/>
      <w:bookmarkStart w:id="77" w:name="_Toc8239"/>
      <w:r>
        <w:rPr>
          <w:rFonts w:hint="eastAsia" w:eastAsia="宋体" w:cs="Arial"/>
          <w:bCs/>
          <w:szCs w:val="22"/>
        </w:rPr>
        <w:t xml:space="preserve">一、总 则</w:t>
      </w:r>
      <w:bookmarkEnd w:id="74"/>
      <w:r/>
      <w:bookmarkEnd w:id="75"/>
      <w:r/>
      <w:bookmarkEnd w:id="76"/>
      <w:r/>
      <w:bookmarkEnd w:id="7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本次招标及由招标产生的合同受中华人民共和国的相关法律、法规制约和保护。</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36"/>
        <w:ind w:firstLine="321"/>
        <w:spacing w:before="0" w:after="0" w:line="480" w:lineRule="exact"/>
        <w:rPr>
          <w:rFonts w:eastAsia="宋体" w:cs="Arial"/>
          <w:bCs/>
          <w:szCs w:val="22"/>
        </w:rPr>
      </w:pPr>
      <w:r/>
      <w:bookmarkStart w:id="78" w:name="_Toc81575193"/>
      <w:r/>
      <w:bookmarkStart w:id="79" w:name="_Toc81575156"/>
      <w:r/>
      <w:bookmarkStart w:id="80" w:name="_Toc15995"/>
      <w:r/>
      <w:bookmarkStart w:id="81" w:name="_Toc29306"/>
      <w:r>
        <w:rPr>
          <w:rFonts w:hint="eastAsia" w:eastAsia="宋体" w:cs="Arial"/>
          <w:bCs/>
          <w:szCs w:val="22"/>
        </w:rPr>
        <w:t xml:space="preserve">二、招标文件</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b/>
          <w:bCs/>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color w:val="ff0000"/>
          <w:sz w:val="24"/>
          <w:u w:val="single"/>
        </w:rPr>
        <w:t xml:space="preserve">/</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采用综合评分法的项目，对提供有效节能环境标志证书的投标人加分。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7.3投标人应及时登录“苏采云”系统获取澄清答疑文件（修改后的招标文件），如投标人未能及时下载澄清答疑文件，造成的相关责任由投标人承担。</w:t>
      </w:r>
      <w:r/>
    </w:p>
    <w:p>
      <w:pPr>
        <w:pStyle w:val="836"/>
        <w:ind w:firstLine="321"/>
        <w:spacing w:before="0" w:after="0" w:line="480" w:lineRule="exact"/>
        <w:rPr>
          <w:rFonts w:eastAsia="宋体" w:cs="Arial"/>
          <w:bCs/>
          <w:szCs w:val="22"/>
        </w:rPr>
      </w:pPr>
      <w:r/>
      <w:bookmarkStart w:id="82" w:name="_Toc81575194"/>
      <w:r/>
      <w:bookmarkStart w:id="83" w:name="_Toc11461"/>
      <w:r/>
      <w:bookmarkStart w:id="84" w:name="_Toc81575157"/>
      <w:r/>
      <w:bookmarkStart w:id="85" w:name="_Toc5574"/>
      <w:r>
        <w:rPr>
          <w:rFonts w:hint="eastAsia" w:eastAsia="宋体" w:cs="Arial"/>
          <w:bCs/>
          <w:szCs w:val="22"/>
        </w:rPr>
        <w:t xml:space="preserve">三、投标文件的编制</w:t>
      </w:r>
      <w:bookmarkEnd w:id="82"/>
      <w:r/>
      <w:bookmarkEnd w:id="83"/>
      <w:r/>
      <w:bookmarkEnd w:id="84"/>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9.1投标文件包括资格证明文件、开标一览表、分项报价表、响应及偏离表、投标函、其他证明文件等部分。</w:t>
      </w:r>
      <w:r>
        <w:rPr>
          <w:rFonts w:hint="eastAsia" w:ascii="Times New Roman" w:hAnsi="Times New Roman" w:cs="仿宋"/>
          <w:bCs/>
          <w:sz w:val="24"/>
        </w:rPr>
        <w:t xml:space="preserve">投标文件构成资料为非中文时应提供中文译版。</w:t>
      </w:r>
      <w:bookmarkStart w:id="86"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7"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36"/>
        <w:ind w:firstLine="321"/>
        <w:spacing w:before="0" w:after="0" w:line="480" w:lineRule="exact"/>
        <w:rPr>
          <w:rFonts w:eastAsia="宋体" w:cs="Arial"/>
          <w:bCs/>
          <w:szCs w:val="22"/>
        </w:rPr>
      </w:pPr>
      <w:r/>
      <w:bookmarkStart w:id="88" w:name="_Toc81575158"/>
      <w:r/>
      <w:bookmarkStart w:id="89" w:name="_Toc81575195"/>
      <w:r/>
      <w:bookmarkStart w:id="90" w:name="_Toc2773"/>
      <w:r/>
      <w:bookmarkStart w:id="91" w:name="_Toc23443"/>
      <w:r>
        <w:rPr>
          <w:rFonts w:hint="eastAsia" w:eastAsia="宋体" w:cs="Arial"/>
          <w:bCs/>
          <w:szCs w:val="22"/>
        </w:rPr>
        <w:t xml:space="preserve">四、投标文件的提交</w:t>
      </w:r>
      <w:bookmarkEnd w:id="88"/>
      <w:r/>
      <w:bookmarkEnd w:id="89"/>
      <w:r/>
      <w:bookmarkEnd w:id="90"/>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36"/>
        <w:ind w:firstLine="321"/>
        <w:spacing w:before="0" w:after="0" w:line="520" w:lineRule="exact"/>
        <w:rPr>
          <w:rFonts w:eastAsia="宋体" w:cs="Arial"/>
          <w:bCs/>
          <w:szCs w:val="22"/>
        </w:rPr>
      </w:pPr>
      <w:r/>
      <w:bookmarkStart w:id="92" w:name="_Toc81575197"/>
      <w:r/>
      <w:bookmarkStart w:id="93" w:name="_Toc959"/>
      <w:r/>
      <w:bookmarkStart w:id="94" w:name="_Toc20026"/>
      <w:r/>
      <w:bookmarkStart w:id="95" w:name="_Toc81575160"/>
      <w:r>
        <w:rPr>
          <w:rFonts w:hint="eastAsia" w:eastAsia="宋体" w:cs="Arial"/>
          <w:bCs/>
          <w:szCs w:val="22"/>
        </w:rPr>
        <w:t xml:space="preserve">五、开标、评标程序</w:t>
      </w:r>
      <w:bookmarkEnd w:id="92"/>
      <w:r/>
      <w:bookmarkEnd w:id="93"/>
      <w:r/>
      <w:bookmarkEnd w:id="94"/>
      <w:r/>
      <w:bookmarkEnd w:id="9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6"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6"/>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7"/>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④总价金额与按单价汇总金额不一致的，以单价金额计算结果为准。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（1）投标报价低于采购项目预算50%的，即投标报价＜采购项目预算×50%；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（2）投标报价低于采购项目最高限价45%的，即投标报价＜采购项目最高限价×45%；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17.7.2启动异常低价投标审查后，评标委员会应当要求相关</w:t>
      </w:r>
      <w:r>
        <w:rPr>
          <w:rFonts w:hint="eastAsia" w:ascii="Times New Roman" w:hAnsi="Times New Roman" w:cs="仿宋"/>
          <w:sz w:val="24"/>
          <w:szCs w:val="24"/>
        </w:rPr>
        <w:t xml:space="preserve">投标人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ascii="Times New Roman" w:hAnsi="Times New Roman" w:cs="仿宋"/>
          <w:sz w:val="24"/>
        </w:rPr>
        <w:t xml:space="preserve">评标委员会应当将其作为无效投标处理。审查相关情况应当在评标报告中进行记录。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17.8比较</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17.9推荐中标候选人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评标委员会按照招标文件中规定的评标方法和标准推荐中标候选人。</w:t>
      </w:r>
      <w:r/>
    </w:p>
    <w:p>
      <w:pPr>
        <w:pStyle w:val="836"/>
        <w:ind w:firstLine="321"/>
        <w:spacing w:before="0" w:after="0" w:line="480" w:lineRule="exact"/>
        <w:rPr>
          <w:rFonts w:eastAsia="宋体" w:cs="Arial"/>
          <w:bCs/>
          <w:szCs w:val="22"/>
        </w:rPr>
      </w:pPr>
      <w:r/>
      <w:bookmarkStart w:id="98" w:name="_Toc81575196"/>
      <w:r/>
      <w:bookmarkStart w:id="99" w:name="_Toc8712"/>
      <w:r/>
      <w:bookmarkStart w:id="100" w:name="_Toc8841"/>
      <w:r/>
      <w:bookmarkStart w:id="101" w:name="_Toc81575159"/>
      <w:r>
        <w:rPr>
          <w:rFonts w:hint="eastAsia" w:eastAsia="宋体" w:cs="Arial"/>
          <w:bCs/>
          <w:szCs w:val="22"/>
        </w:rPr>
        <w:t xml:space="preserve">六、无效投标、废标、串通投标</w:t>
      </w:r>
      <w:bookmarkEnd w:id="98"/>
      <w:r/>
      <w:bookmarkEnd w:id="99"/>
      <w:r/>
      <w:bookmarkEnd w:id="100"/>
      <w:r/>
      <w:bookmarkEnd w:id="101"/>
      <w:r>
        <w:rPr>
          <w:rFonts w:hint="eastAsia" w:eastAsia="宋体" w:cs="Arial"/>
          <w:bCs/>
          <w:szCs w:val="22"/>
        </w:rPr>
        <w:t xml:space="preserve">及取消中标候选人资格情形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18、无效投标情形</w:t>
      </w:r>
      <w:r/>
    </w:p>
    <w:p>
      <w:pPr>
        <w:ind w:firstLine="480"/>
        <w:spacing w:line="480" w:lineRule="exact"/>
        <w:rPr>
          <w:rFonts w:ascii="Times New Roman" w:hAnsi="Times New Roman" w:cs="仿宋"/>
          <w:strike/>
          <w:sz w:val="24"/>
        </w:rPr>
      </w:pPr>
      <w:r>
        <w:rPr>
          <w:rFonts w:hint="eastAsia" w:ascii="Times New Roman" w:hAnsi="Times New Roman" w:cs="仿宋"/>
          <w:sz w:val="24"/>
        </w:rPr>
        <w:t xml:space="preserve">18.1投标人同一采购包提交两个（含两个）以上不同的投标报价的。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18.2投标人不符合招标文件规定资格要求的或未按规定提交资质证件的。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18.3投标人的报价超过了采购预算或最高限价的。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18.7投标文件未按照招标文件要求加盖CA电子公章的。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21.3供应商接受采购人或采购代理机构授意撤换、修改投标文件；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21.4供应商之间协商投标报价、技术方案等投标文件实质性内容；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21.5属于同一集团、协会、商会等组织成员的供应商按照该组织要求协同投标；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21.6供应商之间事先约定由某一特定供应商中标、成交；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21.7供应商之间商定部分供应商放弃投标或者放弃中标、成交；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3" w:name="_Toc81575161"/>
      <w:r/>
      <w:bookmarkStart w:id="104" w:name="_Toc6494"/>
      <w:r/>
      <w:bookmarkStart w:id="105" w:name="_Toc2391"/>
      <w:r/>
      <w:bookmarkStart w:id="106"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5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3</w:t>
      </w:r>
      <w:r>
        <w:rPr>
          <w:rFonts w:hint="eastAsia" w:ascii="Times New Roman" w:hAnsi="Times New Roman" w:cs="仿宋"/>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36"/>
        <w:spacing w:before="0" w:after="0" w:line="520" w:lineRule="exact"/>
        <w:rPr>
          <w:rFonts w:eastAsia="宋体" w:cs="Arial"/>
          <w:bCs/>
          <w:szCs w:val="22"/>
        </w:rPr>
      </w:pPr>
      <w:r/>
      <w:bookmarkStart w:id="108" w:name="_Toc7550"/>
      <w:r/>
      <w:bookmarkStart w:id="109" w:name="_Toc81575162"/>
      <w:r/>
      <w:bookmarkStart w:id="110" w:name="_Toc81575199"/>
      <w:r/>
      <w:bookmarkStart w:id="111" w:name="_Toc22084"/>
      <w:r>
        <w:rPr>
          <w:rFonts w:hint="eastAsia" w:eastAsia="宋体" w:cs="Arial"/>
          <w:bCs/>
          <w:szCs w:val="22"/>
        </w:rPr>
        <w:t xml:space="preserve">八、</w:t>
      </w:r>
      <w:bookmarkEnd w:id="108"/>
      <w:r/>
      <w:bookmarkEnd w:id="109"/>
      <w:r/>
      <w:bookmarkEnd w:id="110"/>
      <w:r/>
      <w:bookmarkEnd w:id="111"/>
      <w:r/>
      <w:bookmarkStart w:id="112" w:name="_Toc31888"/>
      <w:r/>
      <w:bookmarkStart w:id="113" w:name="_Toc12263"/>
      <w:r/>
      <w:bookmarkStart w:id="114" w:name="_Toc81575200"/>
      <w:r/>
      <w:bookmarkStart w:id="115" w:name="_Toc815751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29.1供应商认为采购文件、采购过程和中标结果使自己的权益受到损害的，可以在知道或者应知其权益受到损害之日起七个工作日内，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质疑供应商对答复不满意或采购人、采购代理机构未在规定时间内作出答复的，可在答复期满后15个工作日内向同级财政部门提起投诉。</w:t>
      </w:r>
      <w:r/>
    </w:p>
    <w:p>
      <w:pPr>
        <w:pStyle w:val="835"/>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23386"/>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0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投标声明及承诺函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0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w:t>
            </w:r>
            <w:r>
              <w:rPr>
                <w:rFonts w:hint="eastAsia" w:ascii="Times New Roman" w:hAnsi="Times New Roman" w:cs="仿宋"/>
                <w:lang w:val="en-US" w:eastAsia="zh-CN"/>
              </w:rPr>
              <w:t xml:space="preserve">要求</w:t>
            </w:r>
            <w:r>
              <w:rPr>
                <w:rFonts w:hint="eastAsia" w:ascii="Times New Roman" w:hAnsi="Times New Roman" w:cs="仿宋"/>
              </w:rPr>
              <w:t xml:space="preserve">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809"/>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3"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jc w:val="left"/>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1.投标人承诺中标后按照“第四章 采购需求-三、物业管理服务内容及标准-3.1基本服务、3.2房屋维护服务、3.3公用设施设备维护服务”标准服务的，得11分。注：投标文件中需提供加盖本单位公章的承诺函电子件，格式见招</w:t>
            </w:r>
            <w:r>
              <w:rPr>
                <w:rFonts w:hint="eastAsia" w:ascii="Times New Roman" w:hAnsi="Times New Roman"/>
                <w:color w:val="000000"/>
              </w:rPr>
              <w:t xml:space="preserve">标文件“第六部分”，未提供不得分。2.投标人对</w:t>
            </w:r>
            <w:r>
              <w:rPr>
                <w:rFonts w:hint="eastAsia" w:ascii="Times New Roman" w:hAnsi="Times New Roman" w:cs="宋体"/>
                <w:color w:val="000000"/>
                <w:szCs w:val="24"/>
              </w:rPr>
              <w:t xml:space="preserve">3.1</w:t>
            </w:r>
            <w:bookmarkStart w:id="124" w:name="OLE_LINK7"/>
            <w:r>
              <w:rPr>
                <w:rFonts w:hint="eastAsia" w:ascii="Times New Roman" w:hAnsi="Times New Roman" w:cs="宋体"/>
                <w:color w:val="000000"/>
                <w:szCs w:val="24"/>
              </w:rPr>
              <w:t xml:space="preserve">基本服务、3.2房屋维护服务、3.3公用设施设备维护服务</w:t>
            </w:r>
            <w:bookmarkEnd w:id="124"/>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1.投标人承诺中标后按照“第四章 采购需求-三、物业管理服务内容及标准-3.4保洁服务、3.5保安服务、3.6绿化养护服务”的标准服务的，得11分。注：投标文件中需提供加盖本单位公章的承诺函电子件，格式见招标文件“第六部分”，未提供不得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2.投标人对3.4保洁服务、3.5保安服务、3.6绿化养护服务的采购需求内容，自行提供上述服务方案，服务方案全部优于采购需求的，得1分；未提供不得分。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投标人承诺中标后按照第四章 采购需求中“八、考核标准”要求实施，得12分。注：投标文件中需提供加盖本单位公章的承诺函电子件，格式见招标文件“第六部分”，未提供不得分。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投标人自2022年1月1日以来（以合同签订时间为准），具有类似非住宅物业服务项目业绩（服务合同中至少包含保洁和保安），每有一个得3分，本项最高得12分。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1、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5.00分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评委根据投标人提供的重大活动保障及应急预案（包括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）进行评审。优于采购需求得5分；满足采购需求得3分；没有内容不得分。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4.00分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在满足采购需求基础之上，根据投标人对拟投入本项目服务的设备、工具、服装方面打分。优于采购需求得4分；满足采购需求得2.5分；没有内容不得分。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进退场交接</w:t>
            </w:r>
            <w:r/>
          </w:p>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4.00分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评委根据投标人提供的进退场交接方案进行打分。优于采购需求得4分；满足采购需求得2.5分；没有内容不得分。</w:t>
            </w:r>
            <w:r/>
          </w:p>
        </w:tc>
      </w:tr>
      <w:tr>
        <w:trPr>
          <w:jc w:val="center"/>
          <w:trHeight w:val="137"/>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项目组成员</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1、保安队长具有国家人力资源社会保障部门颁发的初级（五级）保安员职业资格证书的得1分，具有国家人力资源社会保障部门颁发的中级（四级）及以上保安员职业资格证书得3分，最高得3分；</w:t>
            </w:r>
            <w:r/>
          </w:p>
          <w:p>
            <w:pPr>
              <w:jc w:val="left"/>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2、安保人员（除保安队长外）具有国家人力资源社会保障部门颁发的初级（五级）及以上保安员职业资格证书的，每有1人得1分，最高得2分；</w:t>
            </w:r>
            <w:r/>
          </w:p>
          <w:p>
            <w:pPr>
              <w:jc w:val="left"/>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3、项目组成员中（不含保洁人员），男性年龄在52周岁（含）以下的（以提供的居民身份证为准人），女性年龄在47周岁（含）以下的（以提供的居民身份证为准），每有1得1分，最高得5分。</w:t>
            </w:r>
            <w:r/>
          </w:p>
          <w:p>
            <w:pPr>
              <w:jc w:val="left"/>
              <w:spacing w:line="400" w:lineRule="exact"/>
              <w:widowControl/>
              <w:rPr>
                <w:rFonts w:ascii="Times New Roman" w:hAnsi="Times New Roman" w:cs="宋体"/>
                <w:color w:val="000000"/>
                <w:szCs w:val="21"/>
              </w:rP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）提供上述证明资料电子件及</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月（含）以来投标人为以上人员缴纳的任意一个月社保证明（以社保主管部门出具的证明材料为准）；（</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）涉及消控室值班人员还需同时提供建（构）筑物消防员或消防设施操作员职业资格证书电子件，提供不齐全或不满足要求的不得分。如中标，应在中标后按承诺配备符合要求的消控室值班人员；（</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）涉及水电工还需同时提供省级应急管理厅颁发的高压、低压电工作业证电子件，提供不齐全或不满足要求的不得分。如中标，应在中标后按承诺配备符合要求的水电工。</w:t>
            </w:r>
            <w:r>
              <w:rPr>
                <w:rFonts w:hint="eastAsia" w:ascii="Times New Roman" w:hAnsi="Times New Roman" w:cs="宋体"/>
                <w:color w:val="000000"/>
                <w:szCs w:val="24"/>
              </w:rPr>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jc w:val="left"/>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3"/>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b/>
          <w:sz w:val="44"/>
          <w:szCs w:val="44"/>
        </w:rPr>
        <w:outlineLvl w:val="0"/>
      </w:pPr>
      <w:r/>
      <w:bookmarkStart w:id="125" w:name="_Toc2916"/>
      <w:r/>
      <w:bookmarkStart w:id="126" w:name="_Toc81575168"/>
      <w:r/>
      <w:bookmarkStart w:id="127" w:name="_Toc23973"/>
      <w:r/>
      <w:bookmarkStart w:id="128" w:name="_Toc12255"/>
      <w:r/>
      <w:bookmarkStart w:id="129"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21"/>
      <w:r/>
      <w:bookmarkEnd w:id="125"/>
      <w:r/>
      <w:bookmarkEnd w:id="126"/>
      <w:r/>
      <w:bookmarkEnd w:id="127"/>
      <w:r/>
      <w:bookmarkEnd w:id="128"/>
      <w:r/>
      <w:bookmarkEnd w:id="129"/>
      <w:r/>
      <w:r/>
    </w:p>
    <w:p>
      <w:pPr>
        <w:keepLines/>
        <w:keepNext/>
        <w:spacing w:line="460" w:lineRule="exact"/>
        <w:rPr>
          <w:rFonts w:ascii="Arial" w:hAnsi="Arial"/>
          <w:b/>
          <w:color w:val="000000"/>
          <w:sz w:val="28"/>
        </w:rPr>
        <w:outlineLvl w:val="1"/>
      </w:pPr>
      <w:r>
        <w:rPr>
          <w:rFonts w:hint="eastAsia" w:ascii="Arial" w:hAnsi="Arial"/>
          <w:b/>
          <w:color w:val="000000"/>
          <w:sz w:val="28"/>
        </w:rPr>
        <w:t xml:space="preserve">采购标的清单</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9"/>
        <w:gridCol w:w="3876"/>
      </w:tblGrid>
      <w:tr>
        <w:trPr>
          <w:cantSplit/>
          <w:jc w:val="center"/>
          <w:trHeight w:val="831"/>
        </w:trPr>
        <w:tc>
          <w:tcPr>
            <w:tcW w:w="4489" w:type="dxa"/>
            <w:vAlign w:val="center"/>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标的</w:t>
            </w:r>
            <w:r/>
          </w:p>
        </w:tc>
        <w:tc>
          <w:tcPr>
            <w:tcW w:w="3876" w:type="dxa"/>
            <w:vAlign w:val="center"/>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对应中</w:t>
            </w:r>
            <w:r>
              <w:rPr>
                <w:rFonts w:ascii="宋体" w:hAnsi="宋体"/>
                <w:color w:val="000000"/>
                <w:szCs w:val="21"/>
              </w:rPr>
              <w:t xml:space="preserve">小企业划分标准所属行业</w:t>
            </w:r>
            <w:r/>
          </w:p>
        </w:tc>
      </w:tr>
      <w:tr>
        <w:trPr>
          <w:cantSplit/>
          <w:jc w:val="center"/>
          <w:trHeight w:val="559"/>
        </w:trPr>
        <w:tc>
          <w:tcPr>
            <w:tcW w:w="4489" w:type="dxa"/>
            <w:textDirection w:val="lrTb"/>
            <w:noWrap w:val="false"/>
          </w:tcPr>
          <w:p>
            <w:pPr>
              <w:jc w:val="center"/>
              <w:spacing w:line="480" w:lineRule="exact"/>
              <w:tabs>
                <w:tab w:val="left" w:pos="2020" w:leader="none"/>
              </w:tabs>
              <w:rPr>
                <w:rFonts w:hint="eastAsia" w:ascii="宋体" w:hAnsi="宋体"/>
                <w:color w:val="000000"/>
                <w:szCs w:val="21"/>
              </w:rPr>
            </w:pPr>
            <w:r/>
            <w:bookmarkStart w:id="130" w:name="EBcbe0f8bccf144f1383fdb02825c0b45f"/>
            <w:r>
              <w:rPr>
                <w:rFonts w:hint="eastAsia" w:ascii="宋体" w:hAnsi="宋体" w:cs="宋体"/>
                <w:color w:val="000000"/>
                <w:szCs w:val="21"/>
              </w:rPr>
              <w:t xml:space="preserve">宿迁市救助管理站物业服务采购项目</w:t>
            </w:r>
            <w:bookmarkEnd w:id="130"/>
            <w:r/>
            <w:r/>
          </w:p>
        </w:tc>
        <w:tc>
          <w:tcPr>
            <w:tcW w:w="3876" w:type="dxa"/>
            <w:textDirection w:val="lrTb"/>
            <w:noWrap w:val="false"/>
          </w:tcPr>
          <w:p>
            <w:pPr>
              <w:jc w:val="center"/>
              <w:spacing w:line="480" w:lineRule="exact"/>
              <w:rPr>
                <w:rFonts w:hint="eastAsia" w:ascii="宋体" w:hAnsi="宋体"/>
                <w:color w:val="000000"/>
                <w:szCs w:val="21"/>
              </w:rPr>
            </w:pPr>
            <w:r>
              <w:rPr>
                <w:rFonts w:hint="eastAsia" w:ascii="宋体" w:hAnsi="宋体"/>
                <w:color w:val="000000"/>
                <w:szCs w:val="21"/>
              </w:rPr>
              <w:t xml:space="preserve">物业管理</w:t>
            </w:r>
            <w:r/>
          </w:p>
        </w:tc>
      </w:tr>
    </w:tbl>
    <w:p>
      <w:pPr>
        <w:keepLines/>
        <w:keepNext/>
        <w:spacing w:line="460" w:lineRule="exact"/>
        <w:rPr>
          <w:rFonts w:ascii="Arial" w:hAnsi="Arial"/>
          <w:b/>
          <w:color w:val="000000"/>
          <w:sz w:val="28"/>
        </w:rPr>
        <w:outlineLvl w:val="1"/>
      </w:pPr>
      <w:r>
        <w:rPr>
          <w:rFonts w:hint="eastAsia" w:ascii="Arial" w:hAnsi="Arial"/>
          <w:b/>
          <w:color w:val="000000"/>
          <w:sz w:val="28"/>
        </w:rPr>
        <w:t xml:space="preserve">一、项目概况</w:t>
      </w:r>
      <w:r/>
    </w:p>
    <w:p>
      <w:pPr>
        <w:spacing w:line="440" w:lineRule="exact"/>
        <w:rPr>
          <w:rFonts w:hint="eastAsia" w:ascii="宋体" w:hAnsi="宋体" w:cs="方正黑体_GBK"/>
          <w:b/>
          <w:color w:val="000000" w:themeColor="text1"/>
          <w:sz w:val="24"/>
          <w:szCs w:val="24"/>
          <w14:textFill>
            <w14:solidFill>
              <w14:schemeClr w14:val="tx1"/>
            </w14:solidFill>
          </w14:textFill>
        </w:rPr>
      </w:pPr>
      <w:r>
        <w:rPr>
          <w:rFonts w:hint="eastAsia" w:ascii="宋体" w:hAnsi="宋体" w:cs="方正黑体_GBK"/>
          <w:b/>
          <w:color w:val="000000" w:themeColor="text1"/>
          <w:sz w:val="24"/>
          <w:szCs w:val="24"/>
          <w14:textFill>
            <w14:solidFill>
              <w14:schemeClr w14:val="tx1"/>
            </w14:solidFill>
          </w14:textFill>
        </w:rPr>
        <w:t xml:space="preserve">1、物业情况</w:t>
      </w:r>
      <w:r/>
    </w:p>
    <w:p>
      <w:pPr>
        <w:spacing w:line="440" w:lineRule="exact"/>
        <w:rPr>
          <w:rFonts w:hint="eastAsia" w:ascii="宋体" w:hAnsi="宋体"/>
          <w:szCs w:val="21"/>
        </w:rPr>
      </w:pPr>
      <w:r>
        <w:rPr>
          <w:rFonts w:hint="eastAsia" w:ascii="宋体" w:hAnsi="宋体"/>
          <w:szCs w:val="21"/>
        </w:rPr>
        <w:t xml:space="preserve">服务地点：宿迁市救助管理站（宿豫区嘉陵江路1号），具体由采购人指定。</w:t>
      </w:r>
      <w:r/>
    </w:p>
    <w:p>
      <w:pPr>
        <w:spacing w:line="460" w:lineRule="exact"/>
        <w:rPr>
          <w:rFonts w:hint="eastAsia" w:ascii="宋体" w:hAnsi="宋体" w:cs="宋体"/>
          <w:b/>
          <w:sz w:val="24"/>
          <w:szCs w:val="24"/>
        </w:rPr>
      </w:pPr>
      <w:r>
        <w:rPr>
          <w:rFonts w:hint="eastAsia" w:ascii="宋体" w:hAnsi="宋体" w:cs="宋体"/>
          <w:b/>
          <w:sz w:val="24"/>
          <w:szCs w:val="24"/>
        </w:rPr>
        <w:t xml:space="preserve">采购人提供供应商使用的场地、设施、设备、材料等</w:t>
      </w:r>
      <w:r/>
    </w:p>
    <w:p>
      <w:pPr>
        <w:spacing w:line="460" w:lineRule="exact"/>
        <w:rPr>
          <w:rFonts w:hint="eastAsia" w:ascii="宋体" w:hAnsi="宋体" w:cs="宋体"/>
          <w:szCs w:val="21"/>
        </w:rPr>
      </w:pPr>
      <w:r>
        <w:rPr>
          <w:rFonts w:hint="eastAsia" w:ascii="宋体" w:hAnsi="宋体" w:cs="宋体"/>
          <w:szCs w:val="21"/>
        </w:rPr>
        <w:t xml:space="preserve">（1）提供一间门卫值班室、一间消防控制（监控）室，配备电脑、普通办公桌椅、空调等；</w:t>
      </w:r>
      <w:r/>
    </w:p>
    <w:p>
      <w:pPr>
        <w:spacing w:line="460" w:lineRule="exact"/>
        <w:rPr>
          <w:rFonts w:hint="eastAsia" w:ascii="宋体" w:hAnsi="宋体" w:cs="宋体"/>
          <w:szCs w:val="21"/>
        </w:rPr>
      </w:pPr>
      <w:r>
        <w:rPr>
          <w:rFonts w:hint="eastAsia" w:ascii="宋体" w:hAnsi="宋体" w:cs="宋体"/>
          <w:szCs w:val="21"/>
        </w:rPr>
        <w:t xml:space="preserve">（2）提供零星维修材料；</w:t>
      </w:r>
      <w:r/>
    </w:p>
    <w:p>
      <w:pPr>
        <w:spacing w:line="460" w:lineRule="exact"/>
        <w:rPr>
          <w:rFonts w:hint="eastAsia" w:ascii="宋体" w:hAnsi="宋体" w:cs="宋体"/>
          <w:szCs w:val="21"/>
        </w:rPr>
      </w:pPr>
      <w:r>
        <w:rPr>
          <w:rFonts w:hint="eastAsia" w:ascii="宋体" w:hAnsi="宋体" w:cs="宋体"/>
          <w:szCs w:val="21"/>
        </w:rPr>
        <w:t xml:space="preserve">（3）提供的保洁用品：卫生间卷纸、擦手纸</w:t>
      </w:r>
      <w:r>
        <w:rPr>
          <w:rFonts w:hint="eastAsia" w:ascii="宋体" w:hAnsi="宋体" w:cs="宋体"/>
          <w:szCs w:val="21"/>
          <w:lang w:bidi="ar"/>
        </w:rPr>
        <w:t xml:space="preserve">、传染病防控和日常消毒用品等</w:t>
      </w:r>
      <w:r>
        <w:rPr>
          <w:rFonts w:hint="eastAsia" w:ascii="宋体" w:hAnsi="宋体" w:cs="宋体"/>
          <w:szCs w:val="21"/>
        </w:rPr>
        <w:t xml:space="preserve">；</w:t>
      </w:r>
      <w:r/>
    </w:p>
    <w:p>
      <w:pPr>
        <w:spacing w:line="460" w:lineRule="exact"/>
        <w:rPr>
          <w:rFonts w:hint="eastAsia" w:ascii="宋体" w:hAnsi="宋体" w:cs="宋体"/>
          <w:szCs w:val="21"/>
        </w:rPr>
      </w:pPr>
      <w:r>
        <w:rPr>
          <w:rFonts w:hint="eastAsia" w:ascii="宋体" w:hAnsi="宋体" w:cs="宋体"/>
          <w:szCs w:val="21"/>
        </w:rPr>
        <w:t xml:space="preserve">（4）提供苗木绿植。</w:t>
      </w:r>
      <w:r/>
    </w:p>
    <w:p>
      <w:pPr>
        <w:spacing w:line="460" w:lineRule="exact"/>
        <w:rPr>
          <w:rFonts w:hint="eastAsia" w:ascii="宋体" w:hAnsi="宋体" w:cs="方正黑体_GBK"/>
          <w:bCs/>
          <w:szCs w:val="21"/>
        </w:rPr>
      </w:pPr>
      <w:r>
        <w:rPr>
          <w:rFonts w:hint="eastAsia" w:ascii="宋体" w:hAnsi="宋体" w:cs="宋体"/>
          <w:szCs w:val="21"/>
        </w:rPr>
        <w:t xml:space="preserve">供应商应当承担除以上所列场地、设施、设备、材料外，与物业管理服务有关的其他场地、设施、设备、材料等。</w:t>
      </w:r>
      <w:r/>
    </w:p>
    <w:p>
      <w:pPr>
        <w:spacing w:line="440" w:lineRule="exact"/>
        <w:rPr>
          <w:rFonts w:hint="eastAsia" w:ascii="宋体" w:hAnsi="宋体" w:cs="方正黑体_GBK"/>
          <w:b/>
          <w:color w:val="000000" w:themeColor="text1"/>
          <w:sz w:val="24"/>
          <w:szCs w:val="24"/>
          <w14:textFill>
            <w14:solidFill>
              <w14:schemeClr w14:val="tx1"/>
            </w14:solidFill>
          </w14:textFill>
        </w:rPr>
      </w:pPr>
      <w:r>
        <w:rPr>
          <w:rFonts w:hint="eastAsia" w:ascii="宋体" w:hAnsi="宋体" w:cs="方正黑体_GBK"/>
          <w:b/>
          <w:color w:val="000000" w:themeColor="text1"/>
          <w:sz w:val="24"/>
          <w:szCs w:val="24"/>
          <w:lang w:val="en-US" w:eastAsia="zh-CN"/>
          <w14:textFill>
            <w14:solidFill>
              <w14:schemeClr w14:val="tx1"/>
            </w14:solidFill>
          </w14:textFill>
        </w:rPr>
        <w:t xml:space="preserve">2、</w:t>
      </w:r>
      <w:r>
        <w:rPr>
          <w:rFonts w:hint="eastAsia" w:ascii="宋体" w:hAnsi="宋体" w:cs="方正黑体_GBK"/>
          <w:b/>
          <w:color w:val="000000" w:themeColor="text1"/>
          <w:sz w:val="24"/>
          <w:szCs w:val="24"/>
          <w14:textFill>
            <w14:solidFill>
              <w14:schemeClr w14:val="tx1"/>
            </w14:solidFill>
          </w14:textFill>
        </w:rPr>
        <w:t xml:space="preserve">物业服务范围</w:t>
      </w:r>
      <w:r/>
    </w:p>
    <w:p>
      <w:pPr>
        <w:spacing w:line="360" w:lineRule="auto"/>
        <w:rPr>
          <w:rFonts w:hint="eastAsia" w:ascii="宋体" w:hAnsi="宋体" w:cs="方正黑体_GBK"/>
          <w:bCs/>
          <w:sz w:val="24"/>
          <w:szCs w:val="24"/>
        </w:rPr>
      </w:pPr>
      <w:r>
        <w:rPr>
          <w:rFonts w:hint="eastAsia" w:ascii="宋体" w:hAnsi="宋体" w:cs="方正黑体_GBK"/>
          <w:bCs/>
          <w:sz w:val="24"/>
          <w:szCs w:val="24"/>
        </w:rPr>
        <w:t xml:space="preserve">（一）物业管理（建筑物）</w:t>
      </w:r>
      <w:r/>
    </w:p>
    <w:tbl>
      <w:tblPr>
        <w:tblStyle w:val="809"/>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946"/>
        <w:gridCol w:w="5637"/>
      </w:tblGrid>
      <w:tr>
        <w:trPr>
          <w:trHeight w:val="454"/>
        </w:trPr>
        <w:tc>
          <w:tcPr>
            <w:gridSpan w:val="2"/>
            <w:tcW w:w="3757" w:type="dxa"/>
            <w:vAlign w:val="center"/>
            <w:textDirection w:val="lrTb"/>
            <w:noWrap w:val="false"/>
          </w:tcPr>
          <w:p>
            <w:pPr>
              <w:spacing w:line="360" w:lineRule="auto"/>
              <w:rPr>
                <w:rFonts w:hint="eastAsia" w:ascii="宋体" w:hAnsi="宋体" w:cs="宋体"/>
                <w:b/>
                <w:bCs/>
              </w:rPr>
            </w:pPr>
            <w:r>
              <w:rPr>
                <w:rFonts w:hint="eastAsia" w:ascii="宋体" w:hAnsi="宋体" w:cs="宋体"/>
                <w:b/>
                <w:bCs/>
              </w:rPr>
              <w:t xml:space="preserve">建筑名称</w:t>
            </w:r>
            <w:r/>
          </w:p>
        </w:tc>
        <w:tc>
          <w:tcPr>
            <w:tcW w:w="5643" w:type="dxa"/>
            <w:vAlign w:val="center"/>
            <w:textDirection w:val="lrTb"/>
            <w:noWrap w:val="false"/>
          </w:tcPr>
          <w:p>
            <w:pPr>
              <w:spacing w:line="360" w:lineRule="auto"/>
              <w:rPr>
                <w:rFonts w:hint="eastAsia" w:ascii="宋体" w:hAnsi="宋体" w:cs="宋体"/>
                <w:b/>
                <w:bCs/>
              </w:rPr>
            </w:pPr>
            <w:r>
              <w:rPr>
                <w:rFonts w:hint="eastAsia" w:ascii="宋体" w:hAnsi="宋体" w:cs="宋体"/>
                <w:b/>
                <w:bCs/>
              </w:rPr>
              <w:t xml:space="preserve">市救助管理站大楼</w:t>
            </w:r>
            <w:r/>
          </w:p>
        </w:tc>
      </w:tr>
      <w:tr>
        <w:trPr>
          <w:cantSplit/>
          <w:trHeight w:val="454"/>
        </w:trPr>
        <w:tc>
          <w:tcPr>
            <w:tcW w:w="81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总面积</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建筑面积（㎡）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8600平方米</w:t>
            </w:r>
            <w:r/>
          </w:p>
        </w:tc>
      </w:tr>
      <w:tr>
        <w:trPr>
          <w:cantSplit/>
          <w:trHeight w:val="454"/>
        </w:trPr>
        <w:tc>
          <w:tcPr>
            <w:tcW w:w="812"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需保洁面积（㎡）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室内约2900平方米（二楼全部区域、一至三楼楼道）；室外约7200平方米</w:t>
            </w:r>
            <w:r/>
          </w:p>
        </w:tc>
      </w:tr>
      <w:tr>
        <w:trPr>
          <w:trHeight w:val="90"/>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门窗</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门窗总数量（个）及总面积（㎡）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门250个，面积约500平方米</w:t>
            </w:r>
            <w:r/>
          </w:p>
          <w:p>
            <w:pPr>
              <w:spacing w:line="360" w:lineRule="auto"/>
              <w:rPr>
                <w:rFonts w:hint="eastAsia" w:ascii="宋体" w:hAnsi="宋体" w:cs="宋体"/>
              </w:rPr>
            </w:pPr>
            <w:r>
              <w:rPr>
                <w:rFonts w:hint="eastAsia" w:ascii="宋体" w:hAnsi="宋体" w:cs="宋体"/>
              </w:rPr>
              <w:t xml:space="preserve">窗807个，面积约1600平方米</w:t>
            </w:r>
            <w:r/>
          </w:p>
        </w:tc>
      </w:tr>
      <w:tr>
        <w:trPr>
          <w:cantSplit/>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地面</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地面各材质及总面积（㎡）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各楼层均为瓷砖地面，需保洁总面积约2900平方米（二楼全部区域、一至三楼楼道）</w:t>
            </w:r>
            <w:r/>
          </w:p>
        </w:tc>
      </w:tr>
      <w:tr>
        <w:trPr>
          <w:cantSplit/>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内墙饰面</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内墙饰面各材质及总面积（㎡）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内墙饰面主要为乳胶漆总，石材等，总面积约</w:t>
            </w:r>
            <w:r>
              <w:rPr>
                <w:rFonts w:hint="eastAsia" w:ascii="宋体" w:hAnsi="宋体" w:cs="宋体"/>
                <w:u w:val="single"/>
              </w:rPr>
              <w:t xml:space="preserve">15000</w:t>
            </w:r>
            <w:r>
              <w:rPr>
                <w:rFonts w:hint="eastAsia" w:ascii="宋体" w:hAnsi="宋体" w:cs="宋体"/>
              </w:rPr>
              <w:t xml:space="preserve">平方米</w:t>
            </w:r>
            <w:r/>
          </w:p>
        </w:tc>
      </w:tr>
      <w:tr>
        <w:trPr>
          <w:cantSplit/>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顶面</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顶面各材质及总面积（㎡）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顶面主要为</w:t>
            </w:r>
            <w:r>
              <w:rPr>
                <w:rFonts w:hint="eastAsia" w:ascii="宋体" w:hAnsi="宋体" w:cs="宋体"/>
                <w:u w:val="single"/>
              </w:rPr>
              <w:t xml:space="preserve">乳胶漆，铝扣板，格栅</w:t>
            </w:r>
            <w:r>
              <w:rPr>
                <w:rFonts w:hint="eastAsia" w:ascii="宋体" w:hAnsi="宋体" w:cs="宋体"/>
              </w:rPr>
              <w:t xml:space="preserve">等，总面积约</w:t>
            </w:r>
            <w:r>
              <w:rPr>
                <w:rFonts w:hint="eastAsia" w:ascii="宋体" w:hAnsi="宋体" w:cs="宋体"/>
                <w:u w:val="single"/>
              </w:rPr>
              <w:t xml:space="preserve">8000</w:t>
            </w:r>
            <w:r>
              <w:rPr>
                <w:rFonts w:hint="eastAsia" w:ascii="宋体" w:hAnsi="宋体" w:cs="宋体"/>
              </w:rPr>
              <w:t xml:space="preserve">平方米</w:t>
            </w:r>
            <w:r/>
          </w:p>
        </w:tc>
      </w:tr>
      <w:tr>
        <w:trPr>
          <w:cantSplit/>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外墙</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外墙各材质及总面积（㎡）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乳胶漆总面积</w:t>
            </w:r>
            <w:r>
              <w:rPr>
                <w:rFonts w:hint="eastAsia" w:ascii="宋体" w:hAnsi="宋体" w:cs="宋体"/>
                <w:u w:val="single"/>
              </w:rPr>
              <w:t xml:space="preserve">1000</w:t>
            </w:r>
            <w:r>
              <w:rPr>
                <w:rFonts w:hint="eastAsia" w:ascii="宋体" w:hAnsi="宋体" w:cs="宋体"/>
              </w:rPr>
              <w:t xml:space="preserve">平方米</w:t>
            </w:r>
            <w:r/>
          </w:p>
        </w:tc>
      </w:tr>
      <w:tr>
        <w:trPr>
          <w:cantSplit/>
          <w:trHeight w:val="454"/>
        </w:trPr>
        <w:tc>
          <w:tcPr>
            <w:tcW w:w="81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会议室</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室内设施说明</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室内设施主要有：会议桌、会议椅、茶水柜、消毒柜、显示屏及其他音视频设备等</w:t>
            </w:r>
            <w:r/>
          </w:p>
        </w:tc>
      </w:tr>
      <w:tr>
        <w:trPr>
          <w:cantSplit/>
          <w:trHeight w:val="454"/>
        </w:trPr>
        <w:tc>
          <w:tcPr>
            <w:tcW w:w="812"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会议室数量（个）及总面积（㎡）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会议室总数量</w:t>
            </w:r>
            <w:r>
              <w:rPr>
                <w:rFonts w:hint="eastAsia" w:ascii="宋体" w:hAnsi="宋体" w:cs="宋体"/>
                <w:u w:val="single"/>
              </w:rPr>
              <w:t xml:space="preserve">2</w:t>
            </w:r>
            <w:r>
              <w:rPr>
                <w:rFonts w:hint="eastAsia" w:ascii="宋体" w:hAnsi="宋体" w:cs="宋体"/>
              </w:rPr>
              <w:t xml:space="preserve">个，其中大会议室</w:t>
            </w:r>
            <w:r>
              <w:rPr>
                <w:rFonts w:hint="eastAsia" w:ascii="宋体" w:hAnsi="宋体" w:cs="宋体"/>
                <w:u w:val="single"/>
              </w:rPr>
              <w:t xml:space="preserve">1</w:t>
            </w:r>
            <w:r>
              <w:rPr>
                <w:rFonts w:hint="eastAsia" w:ascii="宋体" w:hAnsi="宋体" w:cs="宋体"/>
              </w:rPr>
              <w:t xml:space="preserve">个，小会议室</w:t>
            </w:r>
            <w:r>
              <w:rPr>
                <w:rFonts w:hint="eastAsia" w:ascii="宋体" w:hAnsi="宋体" w:cs="宋体"/>
                <w:u w:val="single"/>
              </w:rPr>
              <w:t xml:space="preserve">1</w:t>
            </w:r>
            <w:r>
              <w:rPr>
                <w:rFonts w:hint="eastAsia" w:ascii="宋体" w:hAnsi="宋体" w:cs="宋体"/>
              </w:rPr>
              <w:t xml:space="preserve">个，总面积约</w:t>
            </w:r>
            <w:r>
              <w:rPr>
                <w:rFonts w:hint="eastAsia" w:ascii="宋体" w:hAnsi="宋体" w:cs="宋体"/>
                <w:u w:val="single"/>
              </w:rPr>
              <w:t xml:space="preserve">80</w:t>
            </w:r>
            <w:r>
              <w:rPr>
                <w:rFonts w:hint="eastAsia" w:ascii="宋体" w:hAnsi="宋体" w:cs="宋体"/>
              </w:rPr>
              <w:t xml:space="preserve">平方米。</w:t>
            </w:r>
            <w:r/>
          </w:p>
        </w:tc>
      </w:tr>
      <w:tr>
        <w:trPr>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卫生间</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卫生间数量（个）及总面积（㎡）</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卫生间</w:t>
            </w:r>
            <w:r>
              <w:rPr>
                <w:rFonts w:hint="eastAsia" w:ascii="宋体" w:hAnsi="宋体" w:cs="宋体"/>
                <w:u w:val="single"/>
              </w:rPr>
              <w:t xml:space="preserve">14</w:t>
            </w:r>
            <w:r>
              <w:rPr>
                <w:rFonts w:hint="eastAsia" w:ascii="宋体" w:hAnsi="宋体" w:cs="宋体"/>
              </w:rPr>
              <w:t xml:space="preserve">个及总面积约</w:t>
            </w:r>
            <w:r>
              <w:rPr>
                <w:rFonts w:hint="eastAsia" w:ascii="宋体" w:hAnsi="宋体" w:cs="宋体"/>
                <w:u w:val="single"/>
              </w:rPr>
              <w:t xml:space="preserve">390</w:t>
            </w:r>
            <w:r>
              <w:rPr>
                <w:rFonts w:hint="eastAsia" w:ascii="宋体" w:hAnsi="宋体" w:cs="宋体"/>
              </w:rPr>
              <w:t xml:space="preserve">平方米，开水间</w:t>
            </w:r>
            <w:r>
              <w:rPr>
                <w:rFonts w:hint="eastAsia" w:ascii="宋体" w:hAnsi="宋体" w:cs="宋体"/>
                <w:u w:val="single"/>
              </w:rPr>
              <w:t xml:space="preserve"> 7</w:t>
            </w:r>
            <w:r>
              <w:rPr>
                <w:rFonts w:hint="eastAsia" w:ascii="宋体" w:hAnsi="宋体" w:cs="宋体"/>
              </w:rPr>
              <w:t xml:space="preserve">个，约56平方米</w:t>
            </w:r>
            <w:r/>
          </w:p>
        </w:tc>
      </w:tr>
      <w:tr>
        <w:trPr>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垃圾存放点</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各垃圾存放点位置、面积（㎡）及数量（个）</w:t>
            </w:r>
            <w:r/>
          </w:p>
        </w:tc>
        <w:tc>
          <w:tcPr>
            <w:tcW w:w="5643" w:type="dxa"/>
            <w:vAlign w:val="center"/>
            <w:textDirection w:val="lrTb"/>
            <w:noWrap w:val="false"/>
          </w:tcPr>
          <w:p>
            <w:pPr>
              <w:ind w:left="210" w:hanging="210"/>
              <w:spacing w:line="360" w:lineRule="auto"/>
              <w:rPr>
                <w:rFonts w:hint="eastAsia" w:ascii="宋体" w:hAnsi="宋体" w:cs="宋体"/>
              </w:rPr>
            </w:pPr>
            <w:r>
              <w:rPr>
                <w:rFonts w:hint="eastAsia" w:ascii="宋体" w:hAnsi="宋体" w:cs="宋体"/>
              </w:rPr>
              <w:t xml:space="preserve">每层一个垃圾集中存放点</w:t>
            </w:r>
            <w:r>
              <w:rPr>
                <w:rFonts w:hint="eastAsia" w:ascii="宋体" w:hAnsi="宋体" w:cs="宋体"/>
                <w:u w:val="single"/>
              </w:rPr>
              <w:t xml:space="preserve">80L</w:t>
            </w:r>
            <w:r>
              <w:rPr>
                <w:rFonts w:hint="eastAsia" w:ascii="宋体" w:hAnsi="宋体" w:cs="宋体"/>
              </w:rPr>
              <w:t xml:space="preserve">桶</w:t>
            </w:r>
            <w:r>
              <w:rPr>
                <w:rFonts w:hint="eastAsia" w:ascii="宋体" w:hAnsi="宋体" w:cs="宋体"/>
                <w:u w:val="single"/>
              </w:rPr>
              <w:t xml:space="preserve">1</w:t>
            </w:r>
            <w:r>
              <w:rPr>
                <w:rFonts w:hint="eastAsia" w:ascii="宋体" w:hAnsi="宋体" w:cs="宋体"/>
              </w:rPr>
              <w:t xml:space="preserve">个</w:t>
            </w:r>
            <w:r/>
          </w:p>
        </w:tc>
      </w:tr>
      <w:tr>
        <w:trPr>
          <w:cantSplit/>
          <w:trHeight w:val="454"/>
        </w:trPr>
        <w:tc>
          <w:tcPr>
            <w:tcW w:w="81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车位数</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地下车位数</w:t>
            </w:r>
            <w:r/>
          </w:p>
        </w:tc>
        <w:tc>
          <w:tcPr>
            <w:tcW w:w="5643" w:type="dxa"/>
            <w:vAlign w:val="center"/>
            <w:textDirection w:val="lrTb"/>
            <w:noWrap w:val="false"/>
          </w:tcPr>
          <w:p>
            <w:pPr>
              <w:ind w:left="420" w:hanging="420"/>
              <w:spacing w:line="360" w:lineRule="auto"/>
              <w:rPr>
                <w:rFonts w:hint="eastAsia" w:ascii="宋体" w:hAnsi="宋体" w:cs="宋体"/>
              </w:rPr>
            </w:pPr>
            <w:r>
              <w:rPr>
                <w:rFonts w:hint="eastAsia" w:ascii="宋体" w:hAnsi="宋体" w:cs="宋体"/>
              </w:rPr>
              <w:t xml:space="preserve">地下车位数量</w:t>
            </w:r>
            <w:r>
              <w:rPr>
                <w:rFonts w:hint="eastAsia" w:ascii="宋体" w:hAnsi="宋体" w:cs="宋体"/>
                <w:u w:val="single"/>
              </w:rPr>
              <w:t xml:space="preserve">0</w:t>
            </w:r>
            <w:r>
              <w:rPr>
                <w:rFonts w:hint="eastAsia" w:ascii="宋体" w:hAnsi="宋体" w:cs="宋体"/>
              </w:rPr>
              <w:t xml:space="preserve">个</w:t>
            </w:r>
            <w:r/>
          </w:p>
        </w:tc>
      </w:tr>
      <w:tr>
        <w:trPr>
          <w:cantSplit/>
          <w:trHeight w:val="454"/>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地面车位数</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院内地面车位数量</w:t>
            </w:r>
            <w:r>
              <w:rPr>
                <w:rFonts w:hint="eastAsia" w:ascii="宋体" w:hAnsi="宋体" w:cs="宋体"/>
                <w:u w:val="single"/>
              </w:rPr>
              <w:t xml:space="preserve">20</w:t>
            </w:r>
            <w:r>
              <w:rPr>
                <w:rFonts w:hint="eastAsia" w:ascii="宋体" w:hAnsi="宋体" w:cs="宋体"/>
              </w:rPr>
              <w:t xml:space="preserve">个</w:t>
            </w:r>
            <w:r/>
          </w:p>
        </w:tc>
      </w:tr>
      <w:tr>
        <w:trPr>
          <w:cantSplit/>
          <w:trHeight w:val="454"/>
        </w:trPr>
        <w:tc>
          <w:tcPr>
            <w:tcW w:w="81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车行/人行口</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车行口</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u w:val="single"/>
              </w:rPr>
              <w:t xml:space="preserve">1</w:t>
            </w:r>
            <w:r>
              <w:rPr>
                <w:rFonts w:hint="eastAsia" w:ascii="宋体" w:hAnsi="宋体" w:cs="宋体"/>
              </w:rPr>
              <w:t xml:space="preserve">个</w:t>
            </w:r>
            <w:r/>
          </w:p>
        </w:tc>
      </w:tr>
      <w:tr>
        <w:trPr>
          <w:cantSplit/>
          <w:trHeight w:val="454"/>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人行口</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u w:val="single"/>
              </w:rPr>
              <w:t xml:space="preserve">3</w:t>
            </w:r>
            <w:r>
              <w:rPr>
                <w:rFonts w:hint="eastAsia" w:ascii="宋体" w:hAnsi="宋体" w:cs="宋体"/>
              </w:rPr>
              <w:t xml:space="preserve">个</w:t>
            </w:r>
            <w:r/>
          </w:p>
        </w:tc>
      </w:tr>
      <w:tr>
        <w:trPr>
          <w:cantSplit/>
          <w:trHeight w:val="454"/>
        </w:trPr>
        <w:tc>
          <w:tcPr>
            <w:tcW w:w="812"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设施设备（可另行附表）</w:t>
            </w:r>
            <w:r/>
          </w:p>
          <w:p>
            <w:pP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给排水系统</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给排水系统包括生活给水系统、雨水系统、排水系统，有地下潜水泵2组、集水井1个，生活水给水表1组。</w:t>
            </w:r>
            <w:r/>
          </w:p>
        </w:tc>
      </w:tr>
      <w:tr>
        <w:trPr>
          <w:cantSplit/>
          <w:trHeight w:val="454"/>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消防系统</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消防系统包括:火灾自动报警及消防联动系统、消防栓系统、ABC干粉固定式灭火装置。主要设备:消防水箱1个、报警阀组3组、消防水池容积为500立方米。在每层的消防栓中配备了相应数量的ABC干粉手提式灭火器，在地下室的局部位置还专门布置了灭火器箱体。</w:t>
            </w:r>
            <w:r/>
          </w:p>
        </w:tc>
      </w:tr>
      <w:tr>
        <w:trPr>
          <w:cantSplit/>
          <w:trHeight w:val="454"/>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安防系统</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大楼安全防范系统包括闭嘴电视监控系统、防盗报警系统、巡更系统，闭路电视监控系统安装了168台摄像机。</w:t>
            </w:r>
            <w:r/>
          </w:p>
        </w:tc>
      </w:tr>
      <w:tr>
        <w:trPr>
          <w:cantSplit/>
          <w:trHeight w:val="248"/>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Borders>
              <w:bottom w:val="single" w:color="auto" w:sz="4" w:space="0"/>
            </w:tcBorders>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照明系统</w:t>
            </w:r>
            <w:r/>
          </w:p>
        </w:tc>
        <w:tc>
          <w:tcPr>
            <w:tcBorders>
              <w:bottom w:val="single" w:color="auto" w:sz="4" w:space="0"/>
            </w:tcBorders>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照明系统主要有室内公共照明、应急照明、景观照明等。</w:t>
            </w:r>
            <w:r/>
          </w:p>
        </w:tc>
      </w:tr>
      <w:tr>
        <w:trPr>
          <w:cantSplit/>
          <w:trHeight w:val="956"/>
        </w:trPr>
        <w:tc>
          <w:tcPr>
            <w:tcW w:w="812"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Borders>
              <w:top w:val="single" w:color="auto" w:sz="4" w:space="0"/>
              <w:bottom w:val="single" w:color="auto" w:sz="4" w:space="0"/>
            </w:tcBorders>
            <w:tcW w:w="2945"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供配电系统</w:t>
            </w:r>
            <w:r/>
          </w:p>
        </w:tc>
        <w:tc>
          <w:tcPr>
            <w:tcBorders>
              <w:top w:val="single" w:color="auto" w:sz="4" w:space="0"/>
              <w:bottom w:val="single" w:color="auto" w:sz="4" w:space="0"/>
            </w:tcBorders>
            <w:tcW w:w="5643" w:type="dxa"/>
            <w:vAlign w:val="center"/>
            <w:textDirection w:val="lrTb"/>
            <w:noWrap w:val="false"/>
          </w:tcPr>
          <w:p>
            <w:pPr>
              <w:spacing w:line="360" w:lineRule="exact"/>
              <w:rPr>
                <w:rFonts w:hint="eastAsia" w:ascii="宋体" w:hAnsi="宋体" w:cs="宋体"/>
              </w:rPr>
            </w:pPr>
            <w:r>
              <w:rPr>
                <w:rFonts w:hint="eastAsia" w:ascii="宋体" w:hAnsi="宋体" w:cs="宋体"/>
              </w:rPr>
              <w:t xml:space="preserve">10KV高压环网柜9台，干式变压器2台，低压开关柜（屏）9台，直流馈电屏1台，10KV以下电力变压器系统2套，送配电装置系统1套。</w:t>
            </w:r>
            <w:r/>
          </w:p>
        </w:tc>
      </w:tr>
      <w:tr>
        <w:trPr>
          <w:cantSplit/>
          <w:trHeight w:val="454"/>
        </w:trPr>
        <w:tc>
          <w:tcPr>
            <w:tcW w:w="812"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其他</w:t>
            </w:r>
            <w:r/>
          </w:p>
        </w:tc>
        <w:tc>
          <w:tcPr>
            <w:tcW w:w="2945"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门禁管理系统、电子围栏系统</w:t>
            </w:r>
            <w:r/>
          </w:p>
        </w:tc>
        <w:tc>
          <w:tcPr>
            <w:tcW w:w="564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包括门禁管理系统、电子围栏系统</w:t>
            </w:r>
            <w:r/>
          </w:p>
        </w:tc>
      </w:tr>
    </w:tbl>
    <w:p>
      <w:pPr>
        <w:spacing w:line="360" w:lineRule="auto"/>
        <w:rPr>
          <w:rFonts w:hint="eastAsia" w:ascii="宋体" w:hAnsi="宋体" w:cs="方正黑体_GBK"/>
          <w:bCs/>
          <w:sz w:val="24"/>
          <w:szCs w:val="24"/>
        </w:rPr>
      </w:pPr>
      <w:r>
        <w:rPr>
          <w:rFonts w:hint="eastAsia" w:ascii="宋体" w:hAnsi="宋体" w:cs="方正黑体_GBK"/>
          <w:bCs/>
          <w:sz w:val="24"/>
          <w:szCs w:val="24"/>
        </w:rPr>
        <w:t xml:space="preserve">（二）物业管理（室外）</w:t>
      </w:r>
      <w:r/>
    </w:p>
    <w:tbl>
      <w:tblPr>
        <w:tblStyle w:val="809"/>
        <w:tblW w:w="4973"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7398"/>
      </w:tblGrid>
      <w:tr>
        <w:trPr>
          <w:trHeight w:val="454"/>
        </w:trPr>
        <w:tc>
          <w:tcPr>
            <w:tcW w:w="1951" w:type="dxa"/>
            <w:vAlign w:val="center"/>
            <w:textDirection w:val="lrTb"/>
            <w:noWrap w:val="false"/>
          </w:tcPr>
          <w:p>
            <w:pPr>
              <w:jc w:val="center"/>
              <w:spacing w:line="360" w:lineRule="auto"/>
              <w:rPr>
                <w:rFonts w:hint="eastAsia" w:ascii="宋体" w:hAnsi="宋体" w:cs="宋体"/>
                <w:b/>
                <w:bCs/>
              </w:rPr>
            </w:pPr>
            <w:r>
              <w:rPr>
                <w:rFonts w:hint="eastAsia" w:ascii="宋体" w:hAnsi="宋体" w:cs="宋体"/>
                <w:b/>
                <w:bCs/>
              </w:rPr>
              <w:t xml:space="preserve">名称</w:t>
            </w:r>
            <w:r/>
          </w:p>
        </w:tc>
        <w:tc>
          <w:tcPr>
            <w:tcW w:w="7400" w:type="dxa"/>
            <w:vAlign w:val="center"/>
            <w:textDirection w:val="lrTb"/>
            <w:noWrap w:val="false"/>
          </w:tcPr>
          <w:p>
            <w:pPr>
              <w:jc w:val="center"/>
              <w:spacing w:line="360" w:lineRule="auto"/>
              <w:rPr>
                <w:rFonts w:hint="eastAsia" w:ascii="宋体" w:hAnsi="宋体" w:cs="宋体"/>
                <w:b/>
                <w:bCs/>
              </w:rPr>
            </w:pPr>
            <w:r>
              <w:rPr>
                <w:rFonts w:hint="eastAsia" w:ascii="宋体" w:hAnsi="宋体" w:cs="宋体"/>
                <w:b/>
                <w:bCs/>
              </w:rPr>
              <w:t xml:space="preserve">明细</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室外面积</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院落总面积</w:t>
            </w:r>
            <w:r>
              <w:rPr>
                <w:rFonts w:hint="eastAsia" w:ascii="宋体" w:hAnsi="宋体" w:cs="宋体"/>
                <w:u w:val="single"/>
              </w:rPr>
              <w:t xml:space="preserve">7200</w:t>
            </w:r>
            <w:r>
              <w:rPr>
                <w:rFonts w:hint="eastAsia" w:ascii="宋体" w:hAnsi="宋体" w:cs="宋体"/>
              </w:rPr>
              <w:t xml:space="preserve">平方米</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绿化</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广场绿化</w:t>
            </w:r>
            <w:r>
              <w:rPr>
                <w:rFonts w:hint="eastAsia" w:ascii="宋体" w:hAnsi="宋体" w:cs="宋体"/>
                <w:u w:val="single"/>
              </w:rPr>
              <w:t xml:space="preserve">3000</w:t>
            </w:r>
            <w:r>
              <w:rPr>
                <w:rFonts w:hint="eastAsia" w:ascii="宋体" w:hAnsi="宋体" w:cs="宋体"/>
              </w:rPr>
              <w:t xml:space="preserve">平方米</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路灯、草坪灯、音箱</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站内灯</w:t>
            </w:r>
            <w:r>
              <w:rPr>
                <w:rFonts w:hint="eastAsia" w:ascii="宋体" w:hAnsi="宋体" w:cs="宋体"/>
                <w:u w:val="single"/>
              </w:rPr>
              <w:t xml:space="preserve">33</w:t>
            </w:r>
            <w:r>
              <w:rPr>
                <w:rFonts w:hint="eastAsia" w:ascii="宋体" w:hAnsi="宋体" w:cs="宋体"/>
              </w:rPr>
              <w:t xml:space="preserve">个，草坪灯</w:t>
            </w:r>
            <w:r>
              <w:rPr>
                <w:rFonts w:hint="eastAsia" w:ascii="宋体" w:hAnsi="宋体" w:cs="宋体"/>
                <w:u w:val="single"/>
              </w:rPr>
              <w:t xml:space="preserve">15</w:t>
            </w:r>
            <w:r>
              <w:rPr>
                <w:rFonts w:hint="eastAsia" w:ascii="宋体" w:hAnsi="宋体" w:cs="宋体"/>
              </w:rPr>
              <w:t xml:space="preserve">个</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消防栓</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室外消防火栓</w:t>
            </w:r>
            <w:r>
              <w:rPr>
                <w:rFonts w:hint="eastAsia" w:ascii="宋体" w:hAnsi="宋体" w:cs="宋体"/>
                <w:u w:val="single"/>
              </w:rPr>
              <w:t xml:space="preserve">2</w:t>
            </w:r>
            <w:r>
              <w:rPr>
                <w:rFonts w:hint="eastAsia" w:ascii="宋体" w:hAnsi="宋体" w:cs="宋体"/>
              </w:rPr>
              <w:t xml:space="preserve">个、室内</w:t>
            </w:r>
            <w:r>
              <w:rPr>
                <w:rFonts w:hint="eastAsia" w:ascii="宋体" w:hAnsi="宋体" w:cs="宋体"/>
                <w:u w:val="single"/>
              </w:rPr>
              <w:t xml:space="preserve">40</w:t>
            </w:r>
            <w:r>
              <w:rPr>
                <w:rFonts w:hint="eastAsia" w:ascii="宋体" w:hAnsi="宋体" w:cs="宋体"/>
              </w:rPr>
              <w:t xml:space="preserve">个、楼顶</w:t>
            </w:r>
            <w:r>
              <w:rPr>
                <w:rFonts w:hint="eastAsia" w:ascii="宋体" w:hAnsi="宋体" w:cs="宋体"/>
                <w:u w:val="single"/>
              </w:rPr>
              <w:t xml:space="preserve">1</w:t>
            </w:r>
            <w:r>
              <w:rPr>
                <w:rFonts w:hint="eastAsia" w:ascii="宋体" w:hAnsi="宋体" w:cs="宋体"/>
              </w:rPr>
              <w:t xml:space="preserve">个</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垃圾箱</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室外分类垃圾箱（桶）</w:t>
            </w:r>
            <w:r>
              <w:rPr>
                <w:rFonts w:hint="eastAsia" w:ascii="宋体" w:hAnsi="宋体" w:cs="宋体"/>
                <w:u w:val="single"/>
              </w:rPr>
              <w:t xml:space="preserve">14</w:t>
            </w:r>
            <w:r>
              <w:rPr>
                <w:rFonts w:hint="eastAsia" w:ascii="宋体" w:hAnsi="宋体" w:cs="宋体"/>
              </w:rPr>
              <w:t xml:space="preserve">个</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室外配电箱</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室外配电箱数量</w:t>
            </w:r>
            <w:r>
              <w:rPr>
                <w:rFonts w:hint="eastAsia" w:ascii="宋体" w:hAnsi="宋体" w:cs="宋体"/>
                <w:u w:val="single"/>
              </w:rPr>
              <w:t xml:space="preserve">20</w:t>
            </w:r>
            <w:r>
              <w:rPr>
                <w:rFonts w:hint="eastAsia" w:ascii="宋体" w:hAnsi="宋体" w:cs="宋体"/>
              </w:rPr>
              <w:t xml:space="preserve">个</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监控</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监控画面</w:t>
            </w:r>
            <w:r>
              <w:rPr>
                <w:rFonts w:hint="eastAsia" w:ascii="宋体" w:hAnsi="宋体" w:cs="宋体"/>
                <w:u w:val="single"/>
              </w:rPr>
              <w:t xml:space="preserve">168</w:t>
            </w:r>
            <w:r>
              <w:rPr>
                <w:rFonts w:hint="eastAsia" w:ascii="宋体" w:hAnsi="宋体" w:cs="宋体"/>
              </w:rPr>
              <w:t xml:space="preserve">个</w:t>
            </w:r>
            <w:r/>
          </w:p>
        </w:tc>
      </w:tr>
      <w:tr>
        <w:trPr>
          <w:trHeight w:val="454"/>
        </w:trPr>
        <w:tc>
          <w:tcPr>
            <w:tcW w:w="1951"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指示牌、显示屏</w:t>
            </w:r>
            <w:r/>
          </w:p>
        </w:tc>
        <w:tc>
          <w:tcPr>
            <w:tcW w:w="74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指示牌</w:t>
            </w:r>
            <w:r>
              <w:rPr>
                <w:rFonts w:hint="eastAsia" w:ascii="宋体" w:hAnsi="宋体" w:cs="宋体"/>
                <w:u w:val="single"/>
              </w:rPr>
              <w:t xml:space="preserve">102</w:t>
            </w:r>
            <w:r>
              <w:rPr>
                <w:rFonts w:hint="eastAsia" w:ascii="宋体" w:hAnsi="宋体" w:cs="宋体"/>
              </w:rPr>
              <w:t xml:space="preserve">处、显示屏</w:t>
            </w:r>
            <w:r>
              <w:rPr>
                <w:rFonts w:hint="eastAsia" w:ascii="宋体" w:hAnsi="宋体" w:cs="宋体"/>
                <w:u w:val="single"/>
              </w:rPr>
              <w:t xml:space="preserve">15</w:t>
            </w:r>
            <w:r>
              <w:rPr>
                <w:rFonts w:hint="eastAsia" w:ascii="宋体" w:hAnsi="宋体" w:cs="宋体"/>
              </w:rPr>
              <w:t xml:space="preserve">个</w:t>
            </w:r>
            <w:r/>
          </w:p>
        </w:tc>
      </w:tr>
    </w:tbl>
    <w:p>
      <w:pPr>
        <w:keepLines/>
        <w:keepNext/>
        <w:spacing w:line="460" w:lineRule="exact"/>
        <w:rPr>
          <w:rFonts w:ascii="Arial" w:hAnsi="Arial"/>
          <w:b/>
          <w:color w:val="000000"/>
          <w:sz w:val="28"/>
        </w:rPr>
        <w:outlineLvl w:val="1"/>
      </w:pPr>
      <w:r>
        <w:rPr>
          <w:rFonts w:hint="eastAsia" w:ascii="Arial" w:hAnsi="Arial"/>
          <w:b/>
          <w:color w:val="000000"/>
          <w:sz w:val="28"/>
        </w:rPr>
        <w:t xml:space="preserve">三、物业管理服务内容及标准</w:t>
      </w:r>
      <w:r/>
    </w:p>
    <w:p>
      <w:pPr>
        <w:ind w:firstLine="420"/>
        <w:spacing w:line="360" w:lineRule="auto"/>
        <w:rPr>
          <w:rFonts w:hint="eastAsia" w:ascii="宋体" w:hAnsi="宋体" w:cs="宋体"/>
          <w:sz w:val="24"/>
          <w:szCs w:val="24"/>
        </w:rPr>
      </w:pPr>
      <w:r/>
      <w:bookmarkStart w:id="131" w:name="_Toc10498"/>
      <w:r/>
      <w:bookmarkStart w:id="132" w:name="_Toc26485"/>
      <w:r/>
      <w:bookmarkStart w:id="133" w:name="_Toc26156"/>
      <w:r>
        <w:rPr>
          <w:rFonts w:hint="eastAsia" w:ascii="宋体" w:hAnsi="宋体" w:cs="宋体"/>
          <w:sz w:val="24"/>
          <w:szCs w:val="24"/>
        </w:rPr>
        <w:t xml:space="preserve">物业管理服务包括基本服务、房屋维护服务、公用设施设备维护服务、保洁服务、保安服务和绿化养护服务等。</w:t>
      </w:r>
      <w:r/>
    </w:p>
    <w:p>
      <w:pPr>
        <w:ind w:firstLine="420"/>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w:t>
      </w:r>
      <w:bookmarkEnd w:id="131"/>
      <w:r/>
      <w:bookmarkEnd w:id="132"/>
      <w:r/>
      <w:bookmarkEnd w:id="133"/>
      <w:r>
        <w:rPr>
          <w:rFonts w:hint="eastAsia" w:ascii="宋体" w:hAnsi="宋体" w:cs="宋体"/>
          <w:b/>
          <w:bCs/>
          <w:sz w:val="24"/>
          <w:szCs w:val="24"/>
        </w:rPr>
        <w:t xml:space="preserve">1基本服务</w:t>
      </w:r>
      <w:r/>
    </w:p>
    <w:tbl>
      <w:tblPr>
        <w:tblStyle w:val="809"/>
        <w:tblW w:w="4994"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130"/>
        <w:gridCol w:w="6460"/>
      </w:tblGrid>
      <w:tr>
        <w:trPr>
          <w:trHeight w:val="454"/>
        </w:trPr>
        <w:tc>
          <w:tcPr>
            <w:tcW w:w="795"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28"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66"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目标与责任</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（1）结合采购人要求及物业服务实际情况，制定年度管理目标，明确责任分工，并制定配套实施方案。</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（2）配合采购人各类重大活动现场保洁、秩序维护，做好传染病防控和日常消毒工作，协助做好公安、城管等部门护送受助人员来站工作等。</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服务人员要求</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（1）每季度至少开展1次岗位技能、消防安全和传染病防控知识等教育培训，每季度至少开展1次消防安全演练（现场演练或桌面推演），并进行适当形式的考核。</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（2）根据采购人要求对服务人员进行从业资格审查，审查结果向采购人报备。</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w:t>
            </w:r>
            <w:r>
              <w:rPr>
                <w:rFonts w:hint="eastAsia" w:ascii="宋体" w:hAnsi="宋体" w:cs="宋体"/>
                <w:bCs/>
              </w:rPr>
              <w:t xml:space="preserve">服务人员的年龄、学历、工作经验及资格条件应当与所在岗位能力要求相匹配，到岗前应经过必要的岗前培训以达到岗位能力要求，国家、行业规定应当取得职业资格证书或特种作业证书的，应按规定持证上岗。</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w:t>
            </w:r>
            <w:r>
              <w:rPr>
                <w:rFonts w:hint="eastAsia" w:ascii="宋体" w:hAnsi="宋体" w:cs="宋体"/>
                <w:bCs/>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（5）着装分类统一，佩戴标识。仪容整洁、姿态端正、举止文明。用语文明礼貌，态度温和耐心。</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保密和思想政治教育</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（1）建立保密管理制度。制度内容应当包括但不限于：明确重点要害岗位保密职责；对涉密工作岗位的保密要求；对受助人员的个人隐私保护要求。</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（2）根据采购人要求与涉密工作岗位的服务人员签订保密协议。保密协议应当向采购人报备。</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795"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（4）发现服务人员违法违规或重大过失，及时报告采购人，并采取必要补救措施。</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档案管理</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（1）建立物业信息，准确、及时地对文件资料和服务记录进行归档保存，并确保其物理安全。</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（2）档案和</w:t>
            </w:r>
            <w:r>
              <w:rPr>
                <w:rFonts w:hint="eastAsia" w:ascii="宋体" w:hAnsi="宋体" w:cs="宋体"/>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（3）遵守采购人的信息、档案资料保密要求，未经许可，不得将建筑物平面图等资料转作其他用途或向其他单位、个人提供。</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（4）履约结束后，相关资料交还采购人，采购人按政府采购相关规定存档。</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服务改进</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（1）明确负责人，定期对物业服务过程进行自查，结合反馈意见与评价结果采取改进措施，持续提升管理与服务水平。</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（2）对不合格服务进行控制，对不合格服务的原因进行识别和分析，及时采取纠正措施，消除不合格的原因，防止不合格再发生。</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（3）需整改问题及时整改完成。</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服务方案及工作制度</w:t>
            </w:r>
            <w:r/>
          </w:p>
        </w:tc>
        <w:tc>
          <w:tcPr>
            <w:tcW w:w="6466" w:type="dxa"/>
            <w:vAlign w:val="center"/>
            <w:textDirection w:val="lrTb"/>
            <w:noWrap w:val="false"/>
          </w:tcPr>
          <w:p>
            <w:pPr>
              <w:jc w:val="left"/>
              <w:spacing w:line="360" w:lineRule="auto"/>
              <w:widowControl/>
              <w:rPr>
                <w:rFonts w:hint="eastAsia" w:ascii="宋体" w:hAnsi="宋体" w:cs="宋体"/>
                <w:bCs/>
              </w:rPr>
            </w:pPr>
            <w:r>
              <w:rPr>
                <w:rFonts w:hint="eastAsia" w:ascii="宋体" w:hAnsi="宋体" w:cs="宋体"/>
              </w:rPr>
              <w:t xml:space="preserve">（1）制定工作制度，</w:t>
            </w:r>
            <w:r>
              <w:rPr>
                <w:rFonts w:hint="eastAsia" w:ascii="宋体" w:hAnsi="宋体" w:cs="宋体"/>
                <w:bCs/>
              </w:rPr>
              <w:t xml:space="preserve">主要包括：人员录用制度、</w:t>
            </w:r>
            <w:r>
              <w:rPr>
                <w:rFonts w:hint="eastAsia" w:ascii="宋体" w:hAnsi="宋体" w:cs="宋体"/>
              </w:rPr>
              <w:t xml:space="preserve">档案管理制度、</w:t>
            </w:r>
            <w:r>
              <w:rPr>
                <w:rFonts w:hint="eastAsia" w:ascii="宋体" w:hAnsi="宋体" w:cs="宋体"/>
                <w:bCs/>
              </w:rPr>
              <w:t xml:space="preserve">物业服务管理制度、</w:t>
            </w:r>
            <w:r>
              <w:rPr>
                <w:rFonts w:hint="eastAsia" w:ascii="宋体" w:hAnsi="宋体" w:cs="宋体"/>
              </w:rPr>
              <w:t xml:space="preserve">公用设施设备相关管理制度等</w:t>
            </w:r>
            <w:r>
              <w:rPr>
                <w:rFonts w:hint="eastAsia" w:ascii="宋体" w:hAnsi="宋体" w:cs="宋体"/>
                <w:bCs/>
              </w:rPr>
              <w:t xml:space="preserve">。</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（2）制定</w:t>
            </w:r>
            <w:r>
              <w:rPr>
                <w:rFonts w:hint="eastAsia" w:ascii="宋体" w:hAnsi="宋体" w:cs="宋体"/>
                <w:bCs/>
              </w:rPr>
              <w:t xml:space="preserve">项目实施方案，主要包括：交接方案、人员培训方案、人员稳定性方案、保密方案等。</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（3）制定</w:t>
            </w:r>
            <w:r>
              <w:rPr>
                <w:rFonts w:hint="eastAsia" w:ascii="宋体" w:hAnsi="宋体" w:cs="宋体"/>
                <w:bCs/>
              </w:rPr>
              <w:t xml:space="preserve">物业服务方案，主要包括：房屋维护服务方案、公用设施设备维护服务方案、绿化服务方案、保洁服务方案、保安服务方案、会议服务方案等。</w:t>
            </w:r>
            <w:r/>
          </w:p>
        </w:tc>
      </w:tr>
      <w:tr>
        <w:trPr>
          <w:trHeight w:val="454"/>
        </w:trPr>
        <w:tc>
          <w:tcPr>
            <w:tcW w:w="795"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7</w:t>
            </w:r>
            <w:r/>
          </w:p>
        </w:tc>
        <w:tc>
          <w:tcPr>
            <w:tcW w:w="2128" w:type="dxa"/>
            <w:vAlign w:val="center"/>
            <w:textDirection w:val="lrTb"/>
            <w:noWrap w:val="false"/>
          </w:tcPr>
          <w:p>
            <w:pPr>
              <w:spacing w:line="360" w:lineRule="auto"/>
              <w:widowControl/>
              <w:rPr>
                <w:rFonts w:hint="eastAsia" w:ascii="宋体" w:hAnsi="宋体" w:cs="宋体"/>
              </w:rPr>
            </w:pPr>
            <w:r>
              <w:rPr>
                <w:rFonts w:hint="eastAsia" w:ascii="宋体" w:hAnsi="宋体" w:cs="宋体"/>
              </w:rPr>
              <w:t xml:space="preserve">物品出入服务</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（1）大件物品出入向采购人报告，待采购人确认无误后放行。</w:t>
            </w:r>
            <w:r/>
          </w:p>
        </w:tc>
      </w:tr>
      <w:tr>
        <w:trPr>
          <w:cantSplit/>
          <w:trHeight w:val="454"/>
        </w:trPr>
        <w:tc>
          <w:tcPr>
            <w:tcW w:w="795"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8</w:t>
            </w:r>
            <w:r/>
          </w:p>
        </w:tc>
        <w:tc>
          <w:tcPr>
            <w:tcW w:w="2128"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服务热线及紧急维修</w:t>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（1）设置24小时报修服务热线，随时有人响应报修、求助等服务需求。</w:t>
            </w:r>
            <w:r/>
          </w:p>
        </w:tc>
      </w:tr>
      <w:tr>
        <w:trPr>
          <w:cantSplit/>
          <w:trHeight w:val="454"/>
        </w:trPr>
        <w:tc>
          <w:tcPr>
            <w:tcW w:w="795"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28"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（2）紧急维修应当30分钟内到达现场，不间断维修直至修复。</w:t>
            </w:r>
            <w:r/>
          </w:p>
        </w:tc>
      </w:tr>
    </w:tbl>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3.2房屋维护服务</w:t>
      </w:r>
      <w:r/>
    </w:p>
    <w:tbl>
      <w:tblPr>
        <w:tblStyle w:val="809"/>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45"/>
        <w:gridCol w:w="6449"/>
      </w:tblGrid>
      <w:tr>
        <w:trPr>
          <w:trHeight w:val="454"/>
        </w:trPr>
        <w:tc>
          <w:tcPr>
            <w:tcW w:w="801"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43"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56"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0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2143"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主体结构、围护结构、部品部件</w:t>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（1）每季度至少开展1次房屋结构安全巡视，发现外观有变形、开裂等现象，及时建议采购人申请房屋安全鉴定，并采取必要的避险和防护措施。</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（2）每季度至少开展1次外墙贴饰面、幕墙玻璃、雨篷、散水、空调室外机支撑构件等检查，发现破损，及时向采购人报告，按采购人要求出具维修方案，待采购人同意后按维修方案实施维修。</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（4）每年强降雨天气前后、雨雪季节检查屋面防水和雨落管等，发现破损，及时向采购人报告，按采购人要求出具维修方案，待采购人同意后按维修方案实施维修。</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（5）办公楼外观完好，建筑装饰面无脱落、无破损、无污渍，玻璃幕墙清洁明亮、无破损。</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ind w:right="-218"/>
              <w:jc w:val="left"/>
              <w:spacing w:line="360" w:lineRule="auto"/>
              <w:widowControl/>
              <w:rPr>
                <w:rFonts w:hint="eastAsia" w:ascii="宋体" w:hAnsi="宋体" w:cs="宋体"/>
              </w:rPr>
            </w:pPr>
            <w:r>
              <w:rPr>
                <w:rFonts w:hint="eastAsia" w:ascii="宋体" w:hAnsi="宋体" w:cs="宋体"/>
              </w:rPr>
              <w:t xml:space="preserve">（6）保持通道、楼梯、门窗等设施完好和正常使用。</w:t>
            </w:r>
            <w:r/>
          </w:p>
        </w:tc>
      </w:tr>
      <w:tr>
        <w:trPr>
          <w:cantSplit/>
          <w:trHeight w:val="454"/>
        </w:trPr>
        <w:tc>
          <w:tcPr>
            <w:tcW w:w="80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2143"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其他设施</w:t>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（2）每年至少开展1次防雷装置检测，发现失效，及时向采购人报告，按采购人要求出具维修方案，待采购人同意后按维修方案实施维修。</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（3）路面状态良好，地漏通畅不堵塞。</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（4）接到采购人家具报修服务后，及时上门检查，通知家具供货商对保修期内的家具进行维修，及时对保修期外的家具进行维修。</w:t>
            </w:r>
            <w:r/>
          </w:p>
        </w:tc>
      </w:tr>
      <w:tr>
        <w:trPr>
          <w:cantSplit/>
          <w:trHeight w:val="454"/>
        </w:trPr>
        <w:tc>
          <w:tcPr>
            <w:tcW w:w="80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2143"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标识标牌</w:t>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（1）标识标牌符合《公共信息图形符号 第1部分：通用符号》（GB/T 10001.1）的相关要求，消防与安全标识符合《安全标志及其使用导则》（GB2894）、《消防安全标志第1部分：标志》（GB13495.1）的相关要求。</w:t>
            </w:r>
            <w:r/>
          </w:p>
        </w:tc>
      </w:tr>
      <w:tr>
        <w:trPr>
          <w:cantSplit/>
          <w:trHeight w:val="454"/>
        </w:trPr>
        <w:tc>
          <w:tcPr>
            <w:tcW w:w="80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43"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56"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（2）每月至少检查1次标识标牌和消防与安全标识。应当规范清晰、路线指引正确、安装稳固。</w:t>
            </w:r>
            <w:r/>
          </w:p>
        </w:tc>
      </w:tr>
    </w:tbl>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3.3公用设施设备维护服务</w:t>
      </w:r>
      <w:r/>
    </w:p>
    <w:tbl>
      <w:tblPr>
        <w:tblStyle w:val="809"/>
        <w:tblW w:w="5012"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63"/>
        <w:gridCol w:w="6454"/>
      </w:tblGrid>
      <w:tr>
        <w:trPr>
          <w:trHeight w:val="454"/>
        </w:trPr>
        <w:tc>
          <w:tcPr>
            <w:tcW w:w="802"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61"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60"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02"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2161"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基本要求</w:t>
            </w:r>
            <w:r/>
          </w:p>
        </w:tc>
        <w:tc>
          <w:tcPr>
            <w:tcW w:w="6460"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（1）建立物业各项服务的工作制度及工作计划，并按照执行。</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（2）作业时采取安全防护措施，防止对作业人员或他人造成伤害。相关耗材的环保、安全性等应当符合国家相关规定要求。</w:t>
            </w:r>
            <w:r/>
          </w:p>
        </w:tc>
      </w:tr>
      <w:tr>
        <w:trPr>
          <w:cantSplit/>
          <w:trHeight w:val="381"/>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Borders>
              <w:bottom w:val="single" w:color="auto" w:sz="4" w:space="0"/>
            </w:tcBorders>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（3）做好日常保洁和消毒服务工作记录，记录填写规范、保存完好。</w:t>
            </w:r>
            <w:r/>
          </w:p>
        </w:tc>
      </w:tr>
      <w:tr>
        <w:trPr>
          <w:cantSplit/>
          <w:trHeight w:val="446"/>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Borders>
              <w:top w:val="single" w:color="auto" w:sz="4" w:space="0"/>
            </w:tcBorders>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（4）进入救助服务区域时，有采购方的工作人员全程在场。</w:t>
            </w:r>
            <w:r/>
          </w:p>
        </w:tc>
      </w:tr>
      <w:tr>
        <w:trPr>
          <w:cantSplit/>
          <w:trHeight w:val="454"/>
        </w:trPr>
        <w:tc>
          <w:tcPr>
            <w:tcW w:w="802"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2161"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给排水系统</w:t>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（1）每季度至少开展1次对供水管、阀门、排水管进行疏通、清污，保证室内外供排水系统通畅。</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（2）设施设备、阀门、管道等运行正常，无跑、冒、滴、漏现象。</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（3）遇供水单位限水、停水，按规定时间通知采购人。</w:t>
            </w:r>
            <w:r/>
          </w:p>
        </w:tc>
      </w:tr>
      <w:tr>
        <w:trPr>
          <w:cantSplit/>
          <w:trHeight w:val="454"/>
        </w:trPr>
        <w:tc>
          <w:tcPr>
            <w:tcW w:w="802"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2161"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供配电系统</w:t>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（1）对供电范围内的电气设备定期巡视维护，加强高低压配电柜、配电箱、控制柜及线路等重点部位监测。</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（2）公共使用的照明、指示灯具线路、开关、接地等保持完好，确保用电安全。出现故障及时报修，并在规定时间内维修到位。</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（3）发生非计划性停电的，应当在事件发生后及时通知采购人，快速恢复或启用应急电源，并做好应急事件上报及处理工作。</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（4）复杂故障涉及供电部门维修处置的及时与供电部门联系，并向采购人报告。</w:t>
            </w:r>
            <w:r/>
          </w:p>
        </w:tc>
      </w:tr>
      <w:tr>
        <w:trPr>
          <w:cantSplit/>
          <w:trHeight w:val="454"/>
        </w:trPr>
        <w:tc>
          <w:tcPr>
            <w:tcW w:w="802"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2161"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弱电智能化系统</w:t>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（1）安全防范系统维护保养符合《安全防范系统维护保养规范》（GA/T 1081）的相关要求。</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（2）保持监控系统、门禁系统、安全防范系统等运行正常，有故障及时排除。</w:t>
            </w:r>
            <w:r/>
          </w:p>
        </w:tc>
      </w:tr>
      <w:tr>
        <w:trPr>
          <w:cantSplit/>
          <w:trHeight w:val="454"/>
        </w:trPr>
        <w:tc>
          <w:tcPr>
            <w:tcW w:w="802"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2161"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照明系统</w:t>
            </w:r>
            <w:r/>
          </w:p>
        </w:tc>
        <w:tc>
          <w:tcPr>
            <w:tcW w:w="6460"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（1）</w:t>
            </w:r>
            <w:r>
              <w:rPr>
                <w:rFonts w:hint="eastAsia" w:ascii="Times New Roman" w:hAnsi="Times New Roman" w:cs="宋体"/>
                <w:color w:val="000000"/>
              </w:rPr>
              <w:t xml:space="preserve">每日开展1次公共区域照明设备巡查。</w:t>
            </w:r>
            <w:r/>
          </w:p>
        </w:tc>
      </w:tr>
      <w:tr>
        <w:trPr>
          <w:cantSplit/>
          <w:trHeight w:val="454"/>
        </w:trPr>
        <w:tc>
          <w:tcPr>
            <w:tcW w:w="802"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2161"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6460" w:type="dxa"/>
            <w:vAlign w:val="center"/>
            <w:textDirection w:val="lrTb"/>
            <w:noWrap w:val="false"/>
          </w:tcPr>
          <w:p>
            <w:pPr>
              <w:jc w:val="left"/>
              <w:spacing w:line="360" w:lineRule="auto"/>
              <w:widowControl/>
              <w:rPr>
                <w:rFonts w:hint="eastAsia" w:ascii="宋体" w:hAnsi="宋体" w:cs="宋体"/>
                <w:color w:val="000000"/>
              </w:rPr>
            </w:pPr>
            <w:r>
              <w:rPr>
                <w:rFonts w:hint="eastAsia" w:ascii="宋体" w:hAnsi="宋体" w:cs="宋体"/>
                <w:color w:val="000000"/>
              </w:rPr>
              <w:t xml:space="preserve">（2）</w:t>
            </w:r>
            <w:r>
              <w:rPr>
                <w:rFonts w:hint="eastAsia" w:ascii="Times New Roman" w:hAnsi="Times New Roman" w:cs="宋体"/>
                <w:color w:val="000000"/>
              </w:rPr>
              <w:t xml:space="preserve">发现照明故障及时上报采购人。</w:t>
            </w:r>
            <w:r/>
          </w:p>
        </w:tc>
      </w:tr>
    </w:tbl>
    <w:p>
      <w:pPr>
        <w:pStyle w:val="1264"/>
        <w:rPr>
          <w:rFonts w:hint="eastAsia"/>
        </w:rPr>
      </w:pPr>
      <w:r>
        <w:rPr>
          <w:rFonts w:hint="eastAsia"/>
        </w:rPr>
      </w:r>
      <w:r/>
    </w:p>
    <w:p>
      <w:pPr>
        <w:ind w:firstLine="420"/>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3.4保洁服务</w:t>
      </w:r>
      <w:r/>
    </w:p>
    <w:tbl>
      <w:tblPr>
        <w:tblStyle w:val="809"/>
        <w:tblpPr w:horzAnchor="page" w:tblpX="1822" w:vertAnchor="text" w:tblpY="466" w:leftFromText="180" w:topFromText="0" w:rightFromText="180" w:bottomFromText="0"/>
        <w:tblW w:w="50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2190"/>
        <w:gridCol w:w="6452"/>
      </w:tblGrid>
      <w:tr>
        <w:trPr>
          <w:trHeight w:val="454"/>
        </w:trPr>
        <w:tc>
          <w:tcPr>
            <w:tcW w:w="819"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1985"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5850"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19"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1985"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基本要求</w:t>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（1）建立保洁服务的工作制度及工作计划，并按照执行。</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（2）做好保洁服务工作记录，记录填写规范、保存完好。</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（4）进入救助区域时，有采购人相关人员全程在场。</w:t>
            </w:r>
            <w:r/>
          </w:p>
        </w:tc>
      </w:tr>
      <w:tr>
        <w:trPr>
          <w:cantSplit/>
          <w:trHeight w:val="1507"/>
        </w:trPr>
        <w:tc>
          <w:tcPr>
            <w:tcW w:w="819"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1985"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办公用房区域保洁</w:t>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（1）大厅、楼内公共通道（保洁范围为二楼所有区域）：</w:t>
            </w:r>
            <w:r/>
          </w:p>
          <w:p>
            <w:pPr>
              <w:ind w:firstLine="210"/>
              <w:jc w:val="left"/>
              <w:spacing w:line="360" w:lineRule="auto"/>
              <w:widowControl/>
              <w:rPr>
                <w:rFonts w:hint="eastAsia" w:ascii="宋体" w:hAnsi="宋体" w:cs="宋体"/>
              </w:rPr>
            </w:pPr>
            <w:r>
              <w:rPr>
                <w:rFonts w:hint="eastAsia" w:ascii="宋体" w:hAnsi="宋体" w:cs="宋体"/>
              </w:rPr>
              <w:t xml:space="preserve">①公共通道保持干净，无异味、无杂物、无积水，每日至少开展2次清洁及消毒作业。</w:t>
            </w:r>
            <w:r/>
          </w:p>
          <w:p>
            <w:pPr>
              <w:ind w:firstLine="210"/>
              <w:jc w:val="left"/>
              <w:spacing w:line="360" w:lineRule="auto"/>
              <w:widowControl/>
              <w:rPr>
                <w:rFonts w:hint="eastAsia" w:ascii="宋体" w:hAnsi="宋体" w:cs="宋体"/>
              </w:rPr>
            </w:pPr>
            <w:r>
              <w:rPr>
                <w:rFonts w:hint="eastAsia" w:ascii="宋体" w:hAnsi="宋体" w:cs="宋体"/>
              </w:rPr>
              <w:t xml:space="preserve">②门窗玻璃干净无尘，透光性好，每周至少开展1次清洁作业。</w:t>
            </w:r>
            <w:r/>
          </w:p>
          <w:p>
            <w:pPr>
              <w:ind w:firstLine="210"/>
              <w:jc w:val="left"/>
              <w:spacing w:line="360" w:lineRule="auto"/>
              <w:widowControl/>
              <w:rPr>
                <w:rFonts w:hint="eastAsia" w:ascii="宋体" w:hAnsi="宋体" w:cs="宋体"/>
              </w:rPr>
            </w:pPr>
            <w:r>
              <w:rPr>
                <w:rFonts w:hint="eastAsia" w:ascii="宋体" w:hAnsi="宋体" w:cs="宋体"/>
              </w:rPr>
              <w:t xml:space="preserve">③指示牌干净，无污渍，每日至少开展1次清洁作业。</w:t>
            </w:r>
            <w:r/>
          </w:p>
        </w:tc>
      </w:tr>
      <w:tr>
        <w:trPr>
          <w:cantSplit/>
          <w:trHeight w:val="1095"/>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（2）电器、消防等设施设备：</w:t>
            </w:r>
            <w:r/>
          </w:p>
          <w:p>
            <w:pPr>
              <w:ind w:firstLine="210"/>
              <w:jc w:val="left"/>
              <w:spacing w:line="360" w:lineRule="auto"/>
              <w:widowControl/>
              <w:rPr>
                <w:rFonts w:hint="eastAsia" w:ascii="宋体" w:hAnsi="宋体" w:cs="宋体"/>
              </w:rPr>
            </w:pPr>
            <w:r>
              <w:rPr>
                <w:rFonts w:hint="eastAsia" w:ascii="宋体" w:hAnsi="宋体" w:cs="宋体"/>
              </w:rPr>
              <w:t xml:space="preserve">①配电箱、设备机房、消防栓及开关插座等保持表面干净，无尘无污迹，每月至少开展1次清洁作业。</w:t>
            </w:r>
            <w:r/>
          </w:p>
          <w:p>
            <w:pPr>
              <w:ind w:firstLine="210"/>
              <w:jc w:val="left"/>
              <w:spacing w:line="360" w:lineRule="auto"/>
              <w:widowControl/>
              <w:rPr>
                <w:rFonts w:hint="eastAsia" w:ascii="宋体" w:hAnsi="宋体" w:cs="宋体"/>
              </w:rPr>
            </w:pPr>
            <w:r>
              <w:rPr>
                <w:rFonts w:hint="eastAsia" w:ascii="宋体" w:hAnsi="宋体" w:cs="宋体"/>
              </w:rPr>
              <w:t xml:space="preserve">②监控摄像头、门禁系统等表面光亮，无尘、无斑点，每月至少开展1次清洁作业。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（3）楼梯及楼梯间保持干净、无异味、无杂物、无积水，每日至少开展2次清洁作业（保洁范围为一至三楼的楼梯及楼梯间）。</w:t>
            </w:r>
            <w:r/>
          </w:p>
        </w:tc>
      </w:tr>
      <w:tr>
        <w:trPr>
          <w:cantSplit/>
          <w:trHeight w:val="1095"/>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（4）公共卫生间（保洁范围为一、二楼公共卫生间）：</w:t>
            </w:r>
            <w:r/>
          </w:p>
          <w:p>
            <w:pPr>
              <w:ind w:firstLine="210"/>
              <w:jc w:val="left"/>
              <w:spacing w:line="360" w:lineRule="auto"/>
              <w:widowControl/>
              <w:rPr>
                <w:rFonts w:hint="eastAsia" w:ascii="宋体" w:hAnsi="宋体" w:cs="宋体"/>
              </w:rPr>
            </w:pPr>
            <w:r>
              <w:rPr>
                <w:rFonts w:hint="eastAsia" w:ascii="宋体" w:hAnsi="宋体" w:cs="宋体"/>
              </w:rPr>
              <w:t xml:space="preserve"> ①保持干净，无异味，垃圾无溢出，每日至少开展1次全面清洁和消毒作业，工作期间保持不间断巡视，至少每小时巡视一次。</w:t>
            </w:r>
            <w:r/>
          </w:p>
          <w:p>
            <w:pPr>
              <w:ind w:firstLine="210"/>
              <w:jc w:val="left"/>
              <w:spacing w:line="360" w:lineRule="auto"/>
              <w:widowControl/>
              <w:rPr>
                <w:rFonts w:hint="eastAsia" w:ascii="宋体" w:hAnsi="宋体" w:cs="宋体"/>
              </w:rPr>
            </w:pPr>
            <w:r>
              <w:rPr>
                <w:rFonts w:hint="eastAsia" w:ascii="宋体" w:hAnsi="宋体" w:cs="宋体"/>
              </w:rPr>
              <w:t xml:space="preserve"> ②及时补充厕纸、擦手纸、洗手液等必要用品。</w:t>
            </w:r>
            <w:r/>
          </w:p>
          <w:p>
            <w:pPr>
              <w:ind w:firstLine="368"/>
              <w:jc w:val="left"/>
              <w:spacing w:line="360" w:lineRule="auto"/>
              <w:widowControl/>
              <w:rPr>
                <w:rFonts w:hint="eastAsia" w:ascii="宋体" w:hAnsi="宋体" w:cs="宋体"/>
              </w:rPr>
            </w:pPr>
            <w:r>
              <w:rPr>
                <w:rFonts w:hint="eastAsia" w:ascii="宋体" w:hAnsi="宋体" w:cs="宋体"/>
              </w:rPr>
              <w:t xml:space="preserve">③每日两次收垃圾，更换垃圾袋。</w:t>
            </w:r>
            <w:r/>
          </w:p>
        </w:tc>
      </w:tr>
      <w:tr>
        <w:trPr>
          <w:cantSplit/>
          <w:trHeight w:val="1107"/>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（5）电梯轿厢（保洁范围为2台乘客电梯）：</w:t>
            </w:r>
            <w:r/>
          </w:p>
          <w:p>
            <w:pPr>
              <w:ind w:left="315"/>
              <w:jc w:val="left"/>
              <w:spacing w:line="360" w:lineRule="auto"/>
              <w:widowControl/>
              <w:rPr>
                <w:rFonts w:hint="eastAsia" w:ascii="宋体" w:hAnsi="宋体" w:cs="宋体"/>
              </w:rPr>
            </w:pPr>
            <w:r>
              <w:rPr>
                <w:rFonts w:hint="eastAsia" w:ascii="宋体" w:hAnsi="宋体" w:cs="宋体"/>
              </w:rPr>
              <w:t xml:space="preserve">①保持电梯门、内壁、内槽、地面无污迹、无杂物、无灰尘，保持轿厢、乘梯厅干净整洁，不锈钢扶手每周用不锈钢油养护，无水印、无灰尘无油渍。</w:t>
            </w:r>
            <w:r/>
          </w:p>
          <w:p>
            <w:pPr>
              <w:ind w:left="315"/>
              <w:jc w:val="left"/>
              <w:spacing w:line="360" w:lineRule="auto"/>
              <w:widowControl/>
              <w:rPr>
                <w:rFonts w:hint="eastAsia" w:ascii="宋体" w:hAnsi="宋体" w:cs="宋体"/>
              </w:rPr>
            </w:pPr>
            <w:r>
              <w:rPr>
                <w:rFonts w:hint="eastAsia" w:ascii="宋体" w:hAnsi="宋体" w:cs="宋体"/>
              </w:rPr>
              <w:t xml:space="preserve">②扶梯电梯踏板、台阶、扶手、裙边除尘、清洁，无灰尘、污迹，侧面玻璃挡板每日清洁，无污迹、无水印。</w:t>
            </w:r>
            <w:r/>
          </w:p>
          <w:p>
            <w:pPr>
              <w:ind w:left="315"/>
              <w:jc w:val="left"/>
              <w:spacing w:line="360" w:lineRule="auto"/>
              <w:widowControl/>
              <w:rPr>
                <w:rFonts w:hint="eastAsia" w:ascii="宋体" w:hAnsi="宋体" w:cs="宋体"/>
              </w:rPr>
            </w:pPr>
            <w:r>
              <w:rPr>
                <w:rFonts w:hint="eastAsia" w:ascii="宋体" w:hAnsi="宋体" w:cs="宋体"/>
              </w:rPr>
              <w:t xml:space="preserve">③根据要求定期消毒，并做好消毒记录，有污染时及时消毒，根据疫情防控要求随时调整消毒频次，定期巡视。</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（6）平台、屋顶、天沟保持干净，有杂物及时清扫，每月至少开展1次清洁作业。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（7）石材地面、内墙做好养护工作，每季度开展1次清洁作业。</w:t>
            </w:r>
            <w:r/>
          </w:p>
        </w:tc>
      </w:tr>
      <w:tr>
        <w:trPr>
          <w:cantSplit/>
          <w:trHeight w:val="729"/>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Borders>
              <w:bottom w:val="single" w:color="auto" w:sz="4" w:space="0"/>
            </w:tcBorders>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（8）办公区每日清洁，家具物品表面干净无灰尘、倒垃圾（保洁范围为二楼办公室、会议室）。</w:t>
            </w:r>
            <w:r/>
          </w:p>
        </w:tc>
      </w:tr>
      <w:tr>
        <w:trPr>
          <w:cantSplit/>
          <w:trHeight w:val="548"/>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Borders>
              <w:top w:val="single" w:color="auto" w:sz="4" w:space="0"/>
            </w:tcBorders>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（9）救助区域每周至少开展1次保洁、消毒，并做好消毒记录。有受助人员使用房间、设备后立即开展1次清洁作业（保洁范围为二楼救助区域）。</w:t>
            </w:r>
            <w:r/>
          </w:p>
        </w:tc>
      </w:tr>
      <w:tr>
        <w:trPr>
          <w:cantSplit/>
          <w:trHeight w:val="454"/>
        </w:trPr>
        <w:tc>
          <w:tcPr>
            <w:tcW w:w="819"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3</w:t>
            </w:r>
            <w:r/>
          </w:p>
        </w:tc>
        <w:tc>
          <w:tcPr>
            <w:tcW w:w="1985"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公共场地区域保洁</w:t>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（1）每日清扫道路地面、停车场等公共区域2次，保持干净、无杂物、无积水。</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（2）雪、冰冻等恶劣天气时及时清扫积水、积雪，并采取安全防护措施。</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（3）各种路标、宣传栏等保持干净，每月至少开展1次清洁作业。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（4）清洁室外照明设备，每月至少开展1次清洁作业。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（5）绿地内无杂物、无改变用途和破坏、践踏、占用现象，每天至少开展1次巡查。</w:t>
            </w:r>
            <w:r/>
          </w:p>
        </w:tc>
      </w:tr>
      <w:tr>
        <w:trPr>
          <w:cantSplit/>
          <w:trHeight w:val="929"/>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（6）办公区3米以下外立面定期清洗，每年至少开展1次清洗。（各类材质外立面服务标准详见3.4.1）</w:t>
            </w:r>
            <w:r/>
          </w:p>
        </w:tc>
      </w:tr>
      <w:tr>
        <w:trPr>
          <w:cantSplit/>
          <w:trHeight w:val="454"/>
        </w:trPr>
        <w:tc>
          <w:tcPr>
            <w:tcW w:w="819"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1985"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垃圾处理</w:t>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（2）桶身表面干净无污渍，每日开展至少1次清洁作业。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（3）垃圾分类房保持整洁，无明显异味，每日至少开展1次清洁作业。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（4）化粪池清掏，无明显异味，每半年至少开展1次清洁作业。</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（5）每个工作日内要对楼层产生的垃圾，进行清理分类，并运至垃圾集中堆放点。</w:t>
            </w:r>
            <w:r/>
          </w:p>
        </w:tc>
      </w:tr>
      <w:tr>
        <w:trPr>
          <w:cantSplit/>
          <w:trHeight w:val="553"/>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（6）垃圾装袋，日产日清。</w:t>
            </w:r>
            <w:r/>
          </w:p>
        </w:tc>
      </w:tr>
      <w:tr>
        <w:trPr>
          <w:cantSplit/>
          <w:trHeight w:val="553"/>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（7）建立垃圾清运台账，交由规范的渠道回收处理。</w:t>
            </w:r>
            <w:r/>
          </w:p>
        </w:tc>
      </w:tr>
      <w:tr>
        <w:trPr>
          <w:cantSplit/>
          <w:trHeight w:val="454"/>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（8）做好垃圾分类管理的宣传工作，督促并引导全员参与垃圾分类投放。</w:t>
            </w:r>
            <w:r/>
          </w:p>
        </w:tc>
      </w:tr>
      <w:tr>
        <w:trPr>
          <w:cantSplit/>
          <w:trHeight w:val="597"/>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p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（9）垃圾分类投放管理工作的执行标准，按所在城市的要求执行。</w:t>
            </w:r>
            <w:r/>
          </w:p>
        </w:tc>
      </w:tr>
      <w:tr>
        <w:trPr>
          <w:cantSplit/>
          <w:trHeight w:val="597"/>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（10）定期清洗厨余垃圾桶、清洁其他垃圾收集桶，清洁整理垃圾分类房，严格执行垃圾分类要求。</w:t>
            </w:r>
            <w:r/>
          </w:p>
        </w:tc>
      </w:tr>
      <w:tr>
        <w:trPr>
          <w:cantSplit/>
          <w:trHeight w:val="532"/>
        </w:trPr>
        <w:tc>
          <w:tcPr>
            <w:tcW w:w="819"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1985"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卫生消毒</w:t>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（1）办公用房区域、公共场所区域和周围环境预防性卫生消毒，消毒后及时通风，每周至少开展1次作业。</w:t>
            </w:r>
            <w:r/>
          </w:p>
        </w:tc>
      </w:tr>
      <w:tr>
        <w:trPr>
          <w:cantSplit/>
          <w:trHeight w:val="682"/>
        </w:trPr>
        <w:tc>
          <w:tcPr>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（2）采取综合措施消灭老鼠、蟑螂，控制室内外蚊虫孳生，达到基本无蝇，每季度至少开展1次作业。</w:t>
            </w:r>
            <w:r/>
          </w:p>
        </w:tc>
      </w:tr>
      <w:tr>
        <w:trPr>
          <w:cantSplit/>
          <w:trHeight w:val="531"/>
        </w:trPr>
        <w:tc>
          <w:tcPr>
            <w:tcBorders>
              <w:bottom w:val="single" w:color="auto" w:sz="4" w:space="0"/>
            </w:tcBorders>
            <w:tcW w:w="819"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Borders>
              <w:bottom w:val="single" w:color="auto" w:sz="4" w:space="0"/>
            </w:tcBorders>
            <w:tcW w:w="1985"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Borders>
              <w:bottom w:val="single" w:color="auto" w:sz="4" w:space="0"/>
            </w:tcBorders>
            <w:tcW w:w="5850" w:type="dxa"/>
            <w:vAlign w:val="center"/>
            <w:textDirection w:val="lrTb"/>
            <w:noWrap w:val="false"/>
          </w:tcPr>
          <w:p>
            <w:pPr>
              <w:jc w:val="left"/>
              <w:spacing w:line="360" w:lineRule="auto"/>
              <w:widowControl/>
              <w:rPr>
                <w:rFonts w:hint="eastAsia" w:ascii="宋体" w:hAnsi="宋体" w:cs="宋体"/>
              </w:rPr>
            </w:pPr>
            <w:r>
              <w:rPr>
                <w:rFonts w:hint="eastAsia" w:ascii="宋体" w:hAnsi="宋体" w:cs="宋体"/>
              </w:rPr>
              <w:t xml:space="preserve">（3）发生公共卫生事件时，邀请专业单位开展消毒、检测等工作。</w:t>
            </w:r>
            <w:r/>
          </w:p>
        </w:tc>
      </w:tr>
    </w:tbl>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3.4.1具体清洁要求</w:t>
      </w:r>
      <w:r/>
    </w:p>
    <w:tbl>
      <w:tblPr>
        <w:tblStyle w:val="809"/>
        <w:tblW w:w="4994"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97"/>
        <w:gridCol w:w="6283"/>
      </w:tblGrid>
      <w:tr>
        <w:trPr>
          <w:trHeight w:val="454"/>
        </w:trPr>
        <w:tc>
          <w:tcPr>
            <w:tcW w:w="909" w:type="dxa"/>
            <w:vAlign w:val="center"/>
            <w:textDirection w:val="lrTb"/>
            <w:noWrap w:val="false"/>
          </w:tcPr>
          <w:p>
            <w:pPr>
              <w:jc w:val="center"/>
              <w:spacing w:line="360" w:lineRule="auto"/>
              <w:rPr>
                <w:rFonts w:hint="eastAsia" w:ascii="宋体" w:hAnsi="宋体" w:cs="宋体"/>
                <w:b/>
                <w:bCs/>
              </w:rPr>
            </w:pPr>
            <w:r>
              <w:rPr>
                <w:rFonts w:hint="eastAsia" w:ascii="宋体" w:hAnsi="宋体" w:cs="宋体"/>
                <w:b/>
                <w:bCs/>
              </w:rPr>
              <w:t xml:space="preserve">序号</w:t>
            </w:r>
            <w:r/>
          </w:p>
        </w:tc>
        <w:tc>
          <w:tcPr>
            <w:tcW w:w="2197" w:type="dxa"/>
            <w:vAlign w:val="center"/>
            <w:textDirection w:val="lrTb"/>
            <w:noWrap w:val="false"/>
          </w:tcPr>
          <w:p>
            <w:pPr>
              <w:jc w:val="center"/>
              <w:spacing w:line="360" w:lineRule="auto"/>
              <w:rPr>
                <w:rFonts w:hint="eastAsia" w:ascii="宋体" w:hAnsi="宋体" w:cs="宋体"/>
                <w:b/>
                <w:bCs/>
              </w:rPr>
            </w:pPr>
            <w:r>
              <w:rPr>
                <w:rFonts w:hint="eastAsia" w:ascii="宋体" w:hAnsi="宋体" w:cs="宋体"/>
                <w:b/>
                <w:bCs/>
              </w:rPr>
              <w:t xml:space="preserve">材质</w:t>
            </w:r>
            <w:r/>
          </w:p>
        </w:tc>
        <w:tc>
          <w:tcPr>
            <w:tcW w:w="6283" w:type="dxa"/>
            <w:vAlign w:val="center"/>
            <w:textDirection w:val="lrTb"/>
            <w:noWrap w:val="false"/>
          </w:tcPr>
          <w:p>
            <w:pPr>
              <w:jc w:val="center"/>
              <w:spacing w:line="360" w:lineRule="auto"/>
              <w:rPr>
                <w:rFonts w:hint="eastAsia" w:ascii="宋体" w:hAnsi="宋体" w:cs="宋体"/>
                <w:b/>
                <w:bCs/>
              </w:rPr>
            </w:pPr>
            <w:r>
              <w:rPr>
                <w:rFonts w:hint="eastAsia" w:ascii="宋体" w:hAnsi="宋体" w:cs="宋体"/>
                <w:b/>
                <w:bCs/>
              </w:rPr>
              <w:t xml:space="preserve">清洁要求</w:t>
            </w:r>
            <w:r/>
          </w:p>
        </w:tc>
      </w:tr>
      <w:tr>
        <w:trPr>
          <w:cantSplit/>
          <w:trHeight w:val="454"/>
        </w:trPr>
        <w:tc>
          <w:tcPr>
            <w:tcW w:w="90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W w:w="2197"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耐磨漆地面</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90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97"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90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2</w:t>
            </w:r>
            <w:r/>
          </w:p>
        </w:tc>
        <w:tc>
          <w:tcPr>
            <w:tcW w:w="2197"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瓷砖地面</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（1）日常清洁：推尘，保持地面干净无杂物。</w:t>
            </w:r>
            <w:r/>
          </w:p>
        </w:tc>
      </w:tr>
      <w:tr>
        <w:trPr>
          <w:cantSplit/>
          <w:trHeight w:val="454"/>
        </w:trPr>
        <w:tc>
          <w:tcPr>
            <w:tcW w:w="90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97"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（2）深度清洁：使用洗洁精或肥皂水清理。</w:t>
            </w:r>
            <w:r/>
          </w:p>
        </w:tc>
      </w:tr>
      <w:tr>
        <w:trPr>
          <w:cantSplit/>
          <w:trHeight w:val="454"/>
        </w:trPr>
        <w:tc>
          <w:tcPr>
            <w:tcW w:w="90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3</w:t>
            </w:r>
            <w:r/>
          </w:p>
        </w:tc>
        <w:tc>
          <w:tcPr>
            <w:tcW w:w="2197"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地胶板地面</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（1）定期保养。使用中性清洁剂清洁，避免使用强酸或强碱清洁剂，定期进行基础维护。</w:t>
            </w:r>
            <w:r/>
          </w:p>
        </w:tc>
      </w:tr>
      <w:tr>
        <w:trPr>
          <w:cantSplit/>
          <w:trHeight w:val="454"/>
        </w:trPr>
        <w:tc>
          <w:tcPr>
            <w:tcW w:w="90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97"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（2）日常维护。使用湿润的拖把清洁，污染严重时局部清洁，每月对地胶板地面进行打蜡处理。</w:t>
            </w:r>
            <w:r/>
          </w:p>
        </w:tc>
      </w:tr>
      <w:tr>
        <w:trPr>
          <w:cantSplit/>
          <w:trHeight w:val="454"/>
        </w:trPr>
        <w:tc>
          <w:tcPr>
            <w:tcW w:w="909"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4</w:t>
            </w:r>
            <w:r/>
          </w:p>
        </w:tc>
        <w:tc>
          <w:tcPr>
            <w:tcW w:w="2197" w:type="dxa"/>
            <w:vAlign w:val="center"/>
            <w:vMerge w:val="restart"/>
            <w:textDirection w:val="lrTb"/>
            <w:noWrap w:val="false"/>
          </w:tcPr>
          <w:p>
            <w:pPr>
              <w:spacing w:line="360" w:lineRule="auto"/>
              <w:rPr>
                <w:rFonts w:hint="eastAsia" w:ascii="宋体" w:hAnsi="宋体" w:cs="宋体"/>
              </w:rPr>
            </w:pPr>
            <w:r>
              <w:rPr>
                <w:rFonts w:hint="eastAsia" w:ascii="宋体" w:hAnsi="宋体" w:cs="宋体"/>
              </w:rPr>
              <w:t xml:space="preserve">地板地面</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（1）定期保养。使用中性清洁剂清洁，避免使用强酸或强碱清洁剂，定期进行基础维护。</w:t>
            </w:r>
            <w:r/>
          </w:p>
        </w:tc>
      </w:tr>
      <w:tr>
        <w:trPr>
          <w:cantSplit/>
          <w:trHeight w:val="454"/>
        </w:trPr>
        <w:tc>
          <w:tcPr>
            <w:tcW w:w="909"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197" w:type="dxa"/>
            <w:vAlign w:val="center"/>
            <w:vMerge w:val="continue"/>
            <w:textDirection w:val="lrTb"/>
            <w:noWrap w:val="false"/>
          </w:tcPr>
          <w:p>
            <w:pPr>
              <w:spacing w:line="360" w:lineRule="auto"/>
              <w:rPr>
                <w:rFonts w:hint="eastAsia" w:ascii="宋体" w:hAnsi="宋体" w:cs="宋体"/>
              </w:rPr>
            </w:pPr>
            <w:r>
              <w:rPr>
                <w:rFonts w:hint="eastAsia" w:ascii="宋体" w:hAnsi="宋体" w:cs="宋体"/>
              </w:rPr>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（2）日常维护。使用湿润的拖把清洁，污染严重时局部清洁，每月对地板进行打蜡处理。</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5</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乳胶漆内墙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有污渍时用半干布擦拭。</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石材内墙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有污渍时用半干布擦拭。</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金属板内墙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有污渍时用半干布擦拭。</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涂料外墙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定期专业清洗。</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真石漆外墙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定期专业清洗。</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瓷砖外墙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定期专业清洗。</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铝板外墙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定期专业清洗。</w:t>
            </w:r>
            <w:r/>
          </w:p>
        </w:tc>
      </w:tr>
      <w:tr>
        <w:trPr>
          <w:trHeight w:val="454"/>
        </w:trPr>
        <w:tc>
          <w:tcPr>
            <w:tcW w:w="909"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W w:w="219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玻璃幕墙外墙</w:t>
            </w:r>
            <w:r/>
          </w:p>
        </w:tc>
        <w:tc>
          <w:tcPr>
            <w:tcW w:w="628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定期专业清洗。</w:t>
            </w:r>
            <w:r/>
          </w:p>
        </w:tc>
      </w:tr>
    </w:tbl>
    <w:p>
      <w:pPr>
        <w:ind w:firstLine="482"/>
        <w:keepLines/>
        <w:keepNext/>
        <w:spacing w:line="360" w:lineRule="auto"/>
        <w:rPr>
          <w:rFonts w:hint="eastAsia" w:ascii="宋体" w:hAnsi="宋体" w:cs="宋体"/>
          <w:b/>
          <w:bCs/>
          <w:sz w:val="24"/>
          <w:szCs w:val="24"/>
        </w:rPr>
        <w:outlineLvl w:val="2"/>
      </w:pPr>
      <w:r>
        <w:rPr>
          <w:rFonts w:hint="eastAsia" w:ascii="宋体" w:hAnsi="宋体" w:cs="宋体"/>
          <w:b/>
          <w:bCs/>
          <w:sz w:val="24"/>
          <w:szCs w:val="24"/>
        </w:rPr>
        <w:t xml:space="preserve">3.5保安服务</w:t>
      </w:r>
      <w:r/>
    </w:p>
    <w:tbl>
      <w:tblPr>
        <w:tblStyle w:val="809"/>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154"/>
        <w:gridCol w:w="6438"/>
      </w:tblGrid>
      <w:tr>
        <w:trPr>
          <w:trHeight w:val="454"/>
        </w:trPr>
        <w:tc>
          <w:tcPr>
            <w:tcW w:w="80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2152"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6444"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1</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基本要求</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（1）建立保安服务相关制度，并按照执行。</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（2）对巡查、值守及异常情况等做好相关记录，填写规范，保存完好。</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（3）配备保安服务必要的器材。</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2</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出入管理</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（1）市救助站主出入口实行24小时值班制。</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（2）值班室任何时间段不少于1名工作人员在岗（含节假日）。</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（3）在出入口对外来人员及其携带大件物品、外来车辆进行询问和记录，并与相关部门取得联系，同意后方可进入。</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（4）大件物品搬出有相关部门开具的证明和清单，经核实后放行。</w:t>
            </w:r>
            <w:r/>
          </w:p>
        </w:tc>
      </w:tr>
      <w:tr>
        <w:trPr>
          <w:cantSplit/>
          <w:trHeight w:val="736"/>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（5）排查可疑人员，对于不出示证件、不按规定登记、不听劝阻而强行闯入者，及时劝离，必要时通知公安机关进行处理。</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（6）配合站工作人员积极引导公安、城管部门护送或自行来站求助人员。严防站内受助人员走失，发现有未经允许擅自离站的受助人员立即阻止。</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（8）提供来访接待服务。</w:t>
            </w:r>
            <w:r/>
          </w:p>
          <w:p>
            <w:pPr>
              <w:ind w:firstLine="210"/>
              <w:jc w:val="left"/>
              <w:spacing w:line="360" w:lineRule="exact"/>
              <w:widowControl/>
              <w:rPr>
                <w:rFonts w:hint="eastAsia" w:ascii="宋体" w:hAnsi="宋体" w:cs="宋体"/>
              </w:rPr>
            </w:pPr>
            <w:r>
              <w:rPr>
                <w:rFonts w:hint="eastAsia" w:ascii="宋体" w:hAnsi="宋体" w:cs="宋体"/>
              </w:rPr>
              <w:t xml:space="preserve">①做好来访人员、车辆进出证件登记，及时通报。</w:t>
            </w:r>
            <w:r/>
          </w:p>
          <w:p>
            <w:pPr>
              <w:ind w:firstLine="210"/>
              <w:jc w:val="left"/>
              <w:spacing w:line="360" w:lineRule="exact"/>
              <w:widowControl/>
              <w:rPr>
                <w:rFonts w:hint="eastAsia" w:ascii="宋体" w:hAnsi="宋体" w:cs="宋体"/>
              </w:rPr>
            </w:pPr>
            <w:r>
              <w:rPr>
                <w:rFonts w:hint="eastAsia" w:ascii="宋体" w:hAnsi="宋体" w:cs="宋体"/>
              </w:rPr>
              <w:t xml:space="preserve">②严禁无关人员、可疑人员和危险物品进入办公楼（区）内。</w:t>
            </w:r>
            <w:r/>
          </w:p>
          <w:p>
            <w:pPr>
              <w:ind w:firstLine="210"/>
              <w:jc w:val="left"/>
              <w:spacing w:line="360" w:lineRule="exact"/>
              <w:widowControl/>
              <w:rPr>
                <w:rFonts w:hint="eastAsia" w:ascii="宋体" w:hAnsi="宋体" w:cs="宋体"/>
              </w:rPr>
            </w:pPr>
            <w:r>
              <w:rPr>
                <w:rFonts w:hint="eastAsia" w:ascii="宋体" w:hAnsi="宋体" w:cs="宋体"/>
              </w:rPr>
              <w:t xml:space="preserve">③物品摆放整齐有序、分类放置。</w:t>
            </w:r>
            <w:r/>
          </w:p>
          <w:p>
            <w:pPr>
              <w:ind w:firstLine="210"/>
              <w:jc w:val="left"/>
              <w:spacing w:line="360" w:lineRule="exact"/>
              <w:widowControl/>
              <w:rPr>
                <w:rFonts w:hint="eastAsia" w:ascii="宋体" w:hAnsi="宋体" w:cs="宋体"/>
              </w:rPr>
            </w:pPr>
            <w:r>
              <w:rPr>
                <w:rFonts w:hint="eastAsia" w:ascii="宋体" w:hAnsi="宋体" w:cs="宋体"/>
              </w:rPr>
              <w:t xml:space="preserve">④现场办理等待时间不超过5分钟，等待较长时间应当及时沟通。</w:t>
            </w:r>
            <w:r/>
          </w:p>
          <w:p>
            <w:pPr>
              <w:ind w:firstLine="210"/>
              <w:jc w:val="left"/>
              <w:spacing w:line="360" w:lineRule="exact"/>
              <w:widowControl/>
              <w:rPr>
                <w:rFonts w:hint="eastAsia" w:ascii="宋体" w:hAnsi="宋体" w:cs="宋体"/>
              </w:rPr>
            </w:pPr>
            <w:r>
              <w:rPr>
                <w:rFonts w:hint="eastAsia" w:ascii="宋体" w:hAnsi="宋体" w:cs="宋体"/>
              </w:rPr>
              <w:t xml:space="preserve">⑤对来访人员咨询、建议、求助等事项，及时处理或答复，处理和答复率100%。</w:t>
            </w:r>
            <w:r/>
          </w:p>
          <w:p>
            <w:pPr>
              <w:ind w:firstLine="210"/>
              <w:jc w:val="left"/>
              <w:spacing w:line="360" w:lineRule="exact"/>
              <w:widowControl/>
              <w:rPr>
                <w:rFonts w:hint="eastAsia" w:ascii="宋体" w:hAnsi="宋体" w:cs="宋体"/>
              </w:rPr>
            </w:pPr>
            <w:r>
              <w:rPr>
                <w:rFonts w:hint="eastAsia" w:ascii="宋体" w:hAnsi="宋体" w:cs="宋体"/>
              </w:rPr>
              <w:t xml:space="preserve">⑥与被访人进行核实确认；告知被访人的办公室门牌号；告知访客注意事项（根据实际需要填写注意事项）。</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（9）配合作好公安、城管、消防、医护等紧急车辆进出引导。</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（10）特殊外来人员做好全程陪同引导。</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（11）做好文明值勤、热情服务，注重礼仪礼貌，规范用语，统一规范着装，不得与来访人员发生争吵。</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（12）为环卫工、外卖、快递等提供开水、如厕等便利服务。</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3</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值班巡查</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（1）建立24小时值班巡查制度。</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（2）制定巡查路线，按照指定时间和路线执行，加强重点区域、重点部位及装修区域的巡查。</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（3）巡查期间保持通信设施设备畅通，遇到异常情况立即上报并在现场采取相应措施。</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（4）收到监控室指令后，巡查人员及时到达指定地点并迅速采取相应措施。</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4</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监控值守</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（1）监控室环境符合系统设备运行要求，定期进行检查和检测，确保系统功能正常。</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（2）监控设备24小时正常运行。</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（3）监控记录画面清晰，视频监控无死角、无盲区。</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（4）值班期间遵守操作规程和保密制度，做好监控记录的保存工作。</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（5）监控记录保持完整，保存时间不应少于90天。</w:t>
            </w:r>
            <w:r/>
          </w:p>
        </w:tc>
      </w:tr>
      <w:tr>
        <w:trPr>
          <w:cantSplit/>
          <w:trHeight w:val="505"/>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（6）无关人员进入监控室或查阅监控记录，经授权人批准并做好相关记录。</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（7）监控室收到火情等报警信号、其他异常情况信号后，及时报警并安排其他安保人员前往现场进行处理。</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5</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车辆停放</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（1）车辆管理实行24小时服务制度，全天候为内部车辆、来访车辆提供引导停放等服务保障。严格遵守车辆停放管理规定，及时引导车辆行驶路线，合理、规范停放。</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（2）做好道闸系统的管理，确保使用安全。</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（3）加强车位停车引导，正确操作并有序引导，确保停车或出车安全，认真履行安全管理职责。</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（4）车辆行驶路线设置合理、规范，导向标志完整、清晰。</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（5）合理规划车辆停放区域，张贴车辆引导标识，对车辆及停放区域实行规范管理。</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（6）严禁在办公楼的公用走道、楼梯间、安全出口处等公共区域停放车辆或充电。</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（7）非机动车定点有序停放。</w:t>
            </w:r>
            <w:r/>
          </w:p>
        </w:tc>
      </w:tr>
      <w:tr>
        <w:trPr>
          <w:cantSplit/>
          <w:trHeight w:val="90"/>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（8）发现车辆异常情况及时通知车主，并做好登记；发生交通事故、自然灾害等意外事故时及时赶赴现场疏导和协助处理，响应时间不超过3分钟。</w:t>
            </w:r>
            <w:r/>
          </w:p>
        </w:tc>
      </w:tr>
      <w:tr>
        <w:trPr>
          <w:cantSplit/>
          <w:trHeight w:val="556"/>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6</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消防安全管理</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（1）建立消防安全责任制，确定各级消防安全责任人及其职责。</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（2）任何警情均立即响应并处置，必要时启动应急预案。</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（3）消火栓、应急照明、应急物资、消防及人员逃生通道、消防车通道可随时正常使用。</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（4）易燃易爆品设专区专人管理，做好相关记录。</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（5）定期组织消防安全宣传，每季度至少开展1次消防演练。</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7</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突发事件处理</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（1）制定突发事件安全责任书，明确突发事件责任人及应承担的安全责任。</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（2）建立应急突发事件处置队伍，明确各自的职责。</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（3）熟悉AED设备操作，有急救专业知识，遇突发情况能有效处置。</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（4）识别、分析各种潜在风险，针对不同风险类型制定相应解决方案，并配备应急物资。</w:t>
            </w:r>
            <w:r/>
          </w:p>
        </w:tc>
      </w:tr>
      <w:tr>
        <w:trPr>
          <w:cantSplit/>
          <w:trHeight w:val="90"/>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（5）成立应急小分队，积极协助和配合委托方做好群众集会、上访等突发事件，配合做好矛盾化解，安抚情绪，现场秩序维护等相关工作。</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（6）每半年至少开展1次突发事件应急演练，并有相应记录。</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（7）发生意外事件时，及时采取应急措施，能够进行应急救援，维护办公区域物业服务正常进行，保护人身财产安全。</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（8）办公区域物业服务应急预案终止实施后，积极采取措施，在尽可能短的时间内，消除事故带来的不良影响，妥善安置和慰问受害及受影响的人员和部门。</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（9）事故处理后，及时形成事故应急总结报告，完善应急救援工作方案。</w:t>
            </w:r>
            <w:r/>
          </w:p>
        </w:tc>
      </w:tr>
      <w:tr>
        <w:trPr>
          <w:cantSplit/>
          <w:trHeight w:val="454"/>
        </w:trPr>
        <w:tc>
          <w:tcPr>
            <w:tcW w:w="804" w:type="dxa"/>
            <w:vAlign w:val="center"/>
            <w:vMerge w:val="restart"/>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8</w:t>
            </w:r>
            <w:r/>
          </w:p>
        </w:tc>
        <w:tc>
          <w:tcPr>
            <w:tcW w:w="2152"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大型活动秩序</w:t>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（1）制定相应的活动秩序维护方案，合理安排人员，并对场所的安全隐患进行排查。</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（2）应当保障通道、出入口、停车场等区域畅通。</w:t>
            </w:r>
            <w:r/>
          </w:p>
        </w:tc>
      </w:tr>
      <w:tr>
        <w:trPr>
          <w:cantSplit/>
          <w:trHeight w:val="454"/>
        </w:trPr>
        <w:tc>
          <w:tcPr>
            <w:tcW w:w="80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2152"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6444" w:type="dxa"/>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（3）活动举办过程中，做好现场秩序的维护和突发事故的处置工作，确保活动正常进行。</w:t>
            </w:r>
            <w:r/>
          </w:p>
        </w:tc>
      </w:tr>
    </w:tbl>
    <w:p>
      <w:pPr>
        <w:ind w:firstLine="482"/>
        <w:rPr>
          <w:rFonts w:hint="eastAsia" w:ascii="宋体" w:hAnsi="宋体" w:cs="宋体"/>
          <w:b/>
          <w:bCs/>
          <w:sz w:val="24"/>
          <w:szCs w:val="24"/>
        </w:rPr>
      </w:pPr>
      <w:r>
        <w:rPr>
          <w:rFonts w:hint="eastAsia" w:ascii="宋体" w:hAnsi="宋体" w:cs="宋体"/>
          <w:b/>
          <w:bCs/>
          <w:sz w:val="24"/>
          <w:szCs w:val="24"/>
        </w:rPr>
        <w:t xml:space="preserve">3.6绿化养护服务</w:t>
      </w:r>
      <w:r/>
    </w:p>
    <w:tbl>
      <w:tblPr>
        <w:tblStyle w:val="827"/>
        <w:tblW w:w="5016" w:type="pct"/>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163"/>
        <w:gridCol w:w="6440"/>
      </w:tblGrid>
      <w:tr>
        <w:trPr>
          <w:trHeight w:val="454"/>
        </w:trPr>
        <w:tc>
          <w:tcPr>
            <w:tcW w:w="750" w:type="dxa"/>
            <w:vAlign w:val="center"/>
            <w:textDirection w:val="lrTb"/>
            <w:noWrap w:val="false"/>
          </w:tcPr>
          <w:p>
            <w:pPr>
              <w:jc w:val="center"/>
              <w:spacing w:line="300" w:lineRule="auto"/>
              <w:widowControl/>
              <w:rPr>
                <w:rFonts w:cs="Calibri"/>
                <w:b/>
                <w:bCs/>
                <w:szCs w:val="21"/>
              </w:rPr>
            </w:pPr>
            <w:r>
              <w:rPr>
                <w:rFonts w:hint="eastAsia" w:cs="Calibri"/>
                <w:b/>
                <w:bCs/>
                <w:szCs w:val="21"/>
              </w:rPr>
              <w:t xml:space="preserve">序号</w:t>
            </w:r>
            <w:r/>
          </w:p>
        </w:tc>
        <w:tc>
          <w:tcPr>
            <w:tcW w:w="1961" w:type="dxa"/>
            <w:vAlign w:val="center"/>
            <w:textDirection w:val="lrTb"/>
            <w:noWrap w:val="false"/>
          </w:tcPr>
          <w:p>
            <w:pPr>
              <w:jc w:val="center"/>
              <w:spacing w:line="300" w:lineRule="auto"/>
              <w:widowControl/>
              <w:rPr>
                <w:rFonts w:cs="Calibri"/>
                <w:b/>
                <w:bCs/>
                <w:szCs w:val="21"/>
              </w:rPr>
            </w:pPr>
            <w:r>
              <w:rPr>
                <w:rFonts w:cs="Calibri"/>
                <w:b/>
                <w:bCs/>
                <w:szCs w:val="21"/>
              </w:rPr>
              <w:t xml:space="preserve">服务内容</w:t>
            </w:r>
            <w:r/>
          </w:p>
        </w:tc>
        <w:tc>
          <w:tcPr>
            <w:tcW w:w="5839" w:type="dxa"/>
            <w:vAlign w:val="center"/>
            <w:textDirection w:val="lrTb"/>
            <w:noWrap w:val="false"/>
          </w:tcPr>
          <w:p>
            <w:pPr>
              <w:jc w:val="center"/>
              <w:spacing w:line="300" w:lineRule="auto"/>
              <w:widowControl/>
              <w:rPr>
                <w:rFonts w:cs="Calibri"/>
                <w:b/>
                <w:bCs/>
                <w:szCs w:val="21"/>
              </w:rPr>
            </w:pPr>
            <w:r>
              <w:rPr>
                <w:rFonts w:hint="eastAsia" w:cs="Calibri"/>
                <w:b/>
                <w:bCs/>
                <w:szCs w:val="21"/>
              </w:rPr>
              <w:t xml:space="preserve">服务标准</w:t>
            </w:r>
            <w:r/>
          </w:p>
        </w:tc>
      </w:tr>
      <w:tr>
        <w:trPr>
          <w:trHeight w:val="454"/>
        </w:trPr>
        <w:tc>
          <w:tcPr>
            <w:tcW w:w="750" w:type="dxa"/>
            <w:vAlign w:val="center"/>
            <w:vMerge w:val="restart"/>
            <w:textDirection w:val="lrTb"/>
            <w:noWrap w:val="false"/>
          </w:tcPr>
          <w:p>
            <w:pPr>
              <w:jc w:val="center"/>
              <w:spacing w:line="300" w:lineRule="auto"/>
              <w:widowControl/>
            </w:pPr>
            <w:r>
              <w:rPr>
                <w:rFonts w:hint="eastAsia"/>
              </w:rPr>
              <w:t xml:space="preserve">1</w:t>
            </w:r>
            <w:r/>
          </w:p>
        </w:tc>
        <w:tc>
          <w:tcPr>
            <w:tcW w:w="1961" w:type="dxa"/>
            <w:vAlign w:val="center"/>
            <w:vMerge w:val="restart"/>
            <w:textDirection w:val="lrTb"/>
            <w:noWrap w:val="false"/>
          </w:tcPr>
          <w:p>
            <w:pPr>
              <w:spacing w:line="300" w:lineRule="auto"/>
              <w:widowControl/>
              <w:rPr>
                <w:rFonts w:cs="Calibri"/>
                <w:szCs w:val="21"/>
              </w:rPr>
            </w:pPr>
            <w:r>
              <w:rPr>
                <w:rFonts w:hint="eastAsia"/>
              </w:rPr>
              <w:t xml:space="preserve">基本要求</w:t>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（1）制定绿化服务的工作制度及工作计划，并按照执行。</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（2）做好绿化服务工作记录，填写规范。</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（3）作业时采取安全防护措施，防止对作业人员或他人造成伤害。</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rPr>
                <w:rFonts w:cs="Calibri"/>
                <w:szCs w:val="21"/>
              </w:rPr>
            </w:pPr>
            <w:r>
              <w:rPr>
                <w:rFonts w:cs="Calibri"/>
                <w:szCs w:val="21"/>
              </w:r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（4）相关耗材的环保、安全性应当符合规定要求。</w:t>
            </w:r>
            <w:r/>
          </w:p>
        </w:tc>
      </w:tr>
      <w:tr>
        <w:trPr>
          <w:trHeight w:val="454"/>
        </w:trPr>
        <w:tc>
          <w:tcPr>
            <w:tcW w:w="750" w:type="dxa"/>
            <w:vAlign w:val="center"/>
            <w:vMerge w:val="restart"/>
            <w:textDirection w:val="lrTb"/>
            <w:noWrap w:val="false"/>
          </w:tcPr>
          <w:p>
            <w:pPr>
              <w:jc w:val="center"/>
              <w:spacing w:line="300" w:lineRule="auto"/>
              <w:widowControl/>
            </w:pPr>
            <w:r>
              <w:rPr>
                <w:rFonts w:hint="eastAsia"/>
              </w:rPr>
              <w:t xml:space="preserve">2</w:t>
            </w:r>
            <w:r/>
          </w:p>
        </w:tc>
        <w:tc>
          <w:tcPr>
            <w:tcW w:w="1961" w:type="dxa"/>
            <w:vAlign w:val="center"/>
            <w:vMerge w:val="restart"/>
            <w:textDirection w:val="lrTb"/>
            <w:noWrap w:val="false"/>
          </w:tcPr>
          <w:p>
            <w:pPr>
              <w:spacing w:line="300" w:lineRule="auto"/>
              <w:widowControl/>
              <w:rPr>
                <w:rFonts w:cs="Calibri"/>
                <w:szCs w:val="21"/>
              </w:rPr>
            </w:pPr>
            <w:r>
              <w:rPr>
                <w:rFonts w:hint="eastAsia"/>
              </w:rPr>
              <w:t xml:space="preserve">室外绿化养护</w:t>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（1）根据生长环境、植物特性进行除草、灌溉、施肥、整形修剪、防治病虫害等。</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（2）根据生长情况修剪绿地，绿地内无枯草、无杂物，无干枯坏死和病虫侵害，基本无裸露土地。</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（3）定期修剪树木、花卉等，</w:t>
            </w:r>
            <w:r>
              <w:rPr>
                <w:rFonts w:cs="Calibri"/>
                <w:szCs w:val="21"/>
              </w:rPr>
              <w:t xml:space="preserve">灌乔木生长正常、造型美观自然、花枝新鲜，无枯叶、无病虫、无死树缺株</w:t>
            </w:r>
            <w:r>
              <w:rPr>
                <w:rFonts w:hint="eastAsia" w:cs="Calibri"/>
                <w:szCs w:val="21"/>
              </w:rPr>
              <w:t xml:space="preserve">。当树木、爬山虎生长影响电子围栏正常使用时应即时组织修剪。</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（4）绿篱生长造型正常，颜色正常，修剪及时，基本无死株和干死株，有虫株率在10%以下。</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（5）及时清除绿地管养衍生物（含落叶），绿地管养衍生物不得超过24小时未清运。</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（6）根据病虫害发生规律实施综合治理，通常在病虫率高时，以药剂杀死病虫，以确保植物良好生长。产生垃圾的主要区域和路段做到日产日清。</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p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（8）雨雪、冰冻等恶劣天气来临前，专人巡查，对绿植做好预防措施，排除安全隐患。</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rPr>
                <w:rFonts w:cs="Calibri"/>
                <w:szCs w:val="21"/>
              </w:rPr>
            </w:pPr>
            <w:r>
              <w:rPr>
                <w:rFonts w:cs="Calibri"/>
                <w:szCs w:val="21"/>
              </w:r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（9）恶劣天气后，及时清除倒树断枝，疏通道路，尽快恢复原状。</w:t>
            </w:r>
            <w:r/>
          </w:p>
        </w:tc>
      </w:tr>
      <w:tr>
        <w:trPr>
          <w:trHeight w:val="454"/>
        </w:trPr>
        <w:tc>
          <w:tcPr>
            <w:tcW w:w="750" w:type="dxa"/>
            <w:vAlign w:val="center"/>
            <w:vMerge w:val="continue"/>
            <w:textDirection w:val="lrTb"/>
            <w:noWrap w:val="false"/>
          </w:tcPr>
          <w:p>
            <w:pPr>
              <w:jc w:val="center"/>
              <w:spacing w:line="300" w:lineRule="auto"/>
              <w:widowControl/>
            </w:pPr>
            <w:r/>
            <w:r/>
          </w:p>
        </w:tc>
        <w:tc>
          <w:tcPr>
            <w:tcW w:w="1961" w:type="dxa"/>
            <w:vAlign w:val="center"/>
            <w:vMerge w:val="continue"/>
            <w:textDirection w:val="lrTb"/>
            <w:noWrap w:val="false"/>
          </w:tcPr>
          <w:p>
            <w:pPr>
              <w:spacing w:line="300" w:lineRule="auto"/>
              <w:widowControl/>
              <w:rPr>
                <w:rFonts w:cs="Calibri"/>
                <w:szCs w:val="21"/>
              </w:rPr>
            </w:pPr>
            <w:r>
              <w:rPr>
                <w:rFonts w:cs="Calibri"/>
                <w:szCs w:val="21"/>
              </w:rPr>
            </w:r>
            <w:r/>
          </w:p>
        </w:tc>
        <w:tc>
          <w:tcPr>
            <w:tcW w:w="5839" w:type="dxa"/>
            <w:vAlign w:val="center"/>
            <w:textDirection w:val="lrTb"/>
            <w:noWrap w:val="false"/>
          </w:tcPr>
          <w:p>
            <w:pPr>
              <w:jc w:val="left"/>
              <w:spacing w:line="300" w:lineRule="auto"/>
              <w:widowControl/>
              <w:rPr>
                <w:rFonts w:cs="Calibri"/>
                <w:szCs w:val="21"/>
              </w:rPr>
            </w:pPr>
            <w:r>
              <w:rPr>
                <w:rFonts w:hint="eastAsia" w:cs="Calibri"/>
                <w:szCs w:val="21"/>
              </w:rPr>
              <w:t xml:space="preserve">（10）及时补栽死亡苗木，补栽苗木由采购人提供。</w:t>
            </w:r>
            <w:r/>
          </w:p>
        </w:tc>
      </w:tr>
    </w:tbl>
    <w:p>
      <w:pPr>
        <w:keepLines/>
        <w:keepNext/>
        <w:spacing w:line="500" w:lineRule="exact"/>
        <w:rPr>
          <w:rFonts w:ascii="Arial" w:hAnsi="Arial"/>
          <w:b/>
          <w:color w:val="000000"/>
          <w:sz w:val="28"/>
        </w:rPr>
        <w:outlineLvl w:val="1"/>
      </w:pPr>
      <w:r>
        <w:rPr>
          <w:rFonts w:hint="eastAsia" w:ascii="Arial" w:hAnsi="Arial"/>
          <w:b/>
          <w:color w:val="000000"/>
          <w:sz w:val="28"/>
        </w:rPr>
        <w:t xml:space="preserve">四、物业管理服务人员要求</w:t>
      </w:r>
      <w:r/>
    </w:p>
    <w:p>
      <w:pPr>
        <w:ind w:firstLine="480"/>
        <w:jc w:val="left"/>
        <w:spacing w:line="500" w:lineRule="exact"/>
        <w:rPr>
          <w:rFonts w:hint="eastAsia" w:ascii="宋体" w:hAnsi="宋体"/>
          <w:b/>
          <w:bCs/>
          <w:i/>
          <w:iCs/>
          <w:color w:val="ff0000"/>
          <w:sz w:val="24"/>
          <w:szCs w:val="24"/>
        </w:rPr>
      </w:pPr>
      <w:r>
        <w:rPr>
          <w:rFonts w:hint="eastAsia" w:ascii="宋体" w:hAnsi="宋体"/>
          <w:b/>
          <w:bCs/>
          <w:i/>
          <w:iCs/>
          <w:color w:val="ff0000"/>
          <w:sz w:val="24"/>
          <w:szCs w:val="24"/>
        </w:rPr>
        <w:t xml:space="preserve">以下人员配备为最低要求，不接受负偏离，投标文件中提供全部响应要求的承诺函电子件（加盖公章，承诺函格式附后），否则按无效标处理。</w:t>
      </w:r>
      <w:r/>
    </w:p>
    <w:p>
      <w:pPr>
        <w:ind w:firstLine="422"/>
        <w:spacing w:line="500" w:lineRule="exact"/>
        <w:rPr>
          <w:rFonts w:hint="eastAsia" w:ascii="宋体" w:hAnsi="宋体" w:cs="宋体"/>
          <w:b/>
          <w:bCs/>
        </w:rPr>
      </w:pPr>
      <w:r>
        <w:rPr>
          <w:rFonts w:hint="eastAsia" w:ascii="宋体" w:hAnsi="宋体" w:cs="宋体"/>
          <w:b/>
          <w:bCs/>
        </w:rPr>
        <w:t xml:space="preserve">（一）人员需求</w:t>
      </w:r>
      <w:r/>
    </w:p>
    <w:tbl>
      <w:tblPr>
        <w:tblStyle w:val="809"/>
        <w:tblW w:w="66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3365"/>
        <w:gridCol w:w="1645"/>
      </w:tblGrid>
      <w:tr>
        <w:trPr>
          <w:jc w:val="center"/>
          <w:trHeight w:val="468"/>
        </w:trPr>
        <w:tc>
          <w:tcPr>
            <w:tcW w:w="1676" w:type="dxa"/>
            <w:vAlign w:val="center"/>
            <w:textDirection w:val="lrTb"/>
            <w:noWrap w:val="false"/>
          </w:tcPr>
          <w:p>
            <w:pPr>
              <w:jc w:val="center"/>
              <w:spacing w:line="480" w:lineRule="exact"/>
              <w:rPr>
                <w:rFonts w:hint="eastAsia" w:ascii="宋体" w:hAnsi="宋体"/>
                <w:b/>
                <w:szCs w:val="21"/>
              </w:rPr>
            </w:pPr>
            <w:r>
              <w:rPr>
                <w:rFonts w:ascii="宋体" w:hAnsi="宋体"/>
                <w:b/>
                <w:szCs w:val="21"/>
              </w:rPr>
              <w:t xml:space="preserve">序号</w:t>
            </w:r>
            <w:r/>
          </w:p>
        </w:tc>
        <w:tc>
          <w:tcPr>
            <w:tcW w:w="3365" w:type="dxa"/>
            <w:vAlign w:val="center"/>
            <w:textDirection w:val="lrTb"/>
            <w:noWrap w:val="false"/>
          </w:tcPr>
          <w:p>
            <w:pPr>
              <w:jc w:val="center"/>
              <w:spacing w:line="480" w:lineRule="exact"/>
              <w:rPr>
                <w:rFonts w:hint="eastAsia" w:ascii="宋体" w:hAnsi="宋体"/>
                <w:b/>
                <w:szCs w:val="21"/>
              </w:rPr>
            </w:pPr>
            <w:r>
              <w:rPr>
                <w:rFonts w:ascii="宋体" w:hAnsi="宋体"/>
                <w:b/>
                <w:szCs w:val="21"/>
              </w:rPr>
              <w:t xml:space="preserve">人员配备</w:t>
            </w:r>
            <w:r/>
          </w:p>
        </w:tc>
        <w:tc>
          <w:tcPr>
            <w:tcW w:w="1645" w:type="dxa"/>
            <w:vAlign w:val="center"/>
            <w:textDirection w:val="lrTb"/>
            <w:noWrap w:val="false"/>
          </w:tcPr>
          <w:p>
            <w:pPr>
              <w:jc w:val="center"/>
              <w:spacing w:line="480" w:lineRule="exact"/>
              <w:rPr>
                <w:rFonts w:hint="eastAsia" w:ascii="宋体" w:hAnsi="宋体"/>
                <w:b/>
                <w:szCs w:val="21"/>
              </w:rPr>
            </w:pPr>
            <w:r>
              <w:rPr>
                <w:rFonts w:ascii="宋体" w:hAnsi="宋体"/>
                <w:b/>
                <w:szCs w:val="21"/>
              </w:rPr>
              <w:t xml:space="preserve">数量</w:t>
            </w:r>
            <w:r>
              <w:rPr>
                <w:rFonts w:hint="eastAsia" w:ascii="宋体" w:hAnsi="宋体"/>
                <w:b/>
                <w:szCs w:val="21"/>
              </w:rPr>
              <w:t xml:space="preserve">（名）</w:t>
            </w:r>
            <w:r/>
          </w:p>
        </w:tc>
      </w:tr>
      <w:tr>
        <w:trPr>
          <w:cantSplit/>
          <w:jc w:val="center"/>
          <w:trHeight w:val="270"/>
        </w:trPr>
        <w:tc>
          <w:tcPr>
            <w:tcBorders>
              <w:bottom w:val="single" w:color="auto" w:sz="4" w:space="0"/>
            </w:tcBorders>
            <w:tcW w:w="167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1</w:t>
            </w:r>
            <w:r/>
          </w:p>
        </w:tc>
        <w:tc>
          <w:tcPr>
            <w:tcBorders>
              <w:bottom w:val="single" w:color="auto" w:sz="4" w:space="0"/>
            </w:tcBorders>
            <w:tcW w:w="336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保安队长</w:t>
            </w:r>
            <w:r/>
          </w:p>
        </w:tc>
        <w:tc>
          <w:tcPr>
            <w:tcBorders>
              <w:bottom w:val="single" w:color="auto" w:sz="4" w:space="0"/>
            </w:tcBorders>
            <w:tcW w:w="164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1</w:t>
            </w:r>
            <w:r/>
          </w:p>
        </w:tc>
      </w:tr>
      <w:tr>
        <w:trPr>
          <w:cantSplit/>
          <w:jc w:val="center"/>
          <w:trHeight w:val="220"/>
        </w:trPr>
        <w:tc>
          <w:tcPr>
            <w:tcBorders>
              <w:top w:val="single" w:color="auto" w:sz="4" w:space="0"/>
            </w:tcBorders>
            <w:tcW w:w="167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2</w:t>
            </w:r>
            <w:r/>
          </w:p>
        </w:tc>
        <w:tc>
          <w:tcPr>
            <w:tcBorders>
              <w:top w:val="single" w:color="auto" w:sz="4" w:space="0"/>
            </w:tcBorders>
            <w:tcW w:w="3365" w:type="dxa"/>
            <w:vAlign w:val="center"/>
            <w:textDirection w:val="lrTb"/>
            <w:noWrap w:val="false"/>
          </w:tcPr>
          <w:p>
            <w:pPr>
              <w:jc w:val="center"/>
              <w:spacing w:line="480" w:lineRule="exact"/>
              <w:rPr>
                <w:rFonts w:hint="eastAsia" w:ascii="宋体" w:hAnsi="宋体"/>
                <w:szCs w:val="21"/>
              </w:rPr>
            </w:pPr>
            <w:r>
              <w:rPr>
                <w:rFonts w:ascii="宋体" w:hAnsi="宋体"/>
                <w:szCs w:val="21"/>
              </w:rPr>
              <w:t xml:space="preserve">安保人员</w:t>
            </w:r>
            <w:r/>
          </w:p>
        </w:tc>
        <w:tc>
          <w:tcPr>
            <w:tcBorders>
              <w:top w:val="single" w:color="auto" w:sz="4" w:space="0"/>
            </w:tcBorders>
            <w:tcW w:w="164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2</w:t>
            </w:r>
            <w:r/>
          </w:p>
        </w:tc>
      </w:tr>
      <w:tr>
        <w:trPr>
          <w:cantSplit/>
          <w:jc w:val="center"/>
          <w:trHeight w:val="468"/>
        </w:trPr>
        <w:tc>
          <w:tcPr>
            <w:tcW w:w="167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3</w:t>
            </w:r>
            <w:r/>
          </w:p>
        </w:tc>
        <w:tc>
          <w:tcPr>
            <w:tcW w:w="336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消控室值班人员</w:t>
            </w:r>
            <w:r/>
          </w:p>
        </w:tc>
        <w:tc>
          <w:tcPr>
            <w:tcW w:w="164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3</w:t>
            </w:r>
            <w:r/>
          </w:p>
        </w:tc>
      </w:tr>
      <w:tr>
        <w:trPr>
          <w:cantSplit/>
          <w:jc w:val="center"/>
          <w:trHeight w:val="468"/>
        </w:trPr>
        <w:tc>
          <w:tcPr>
            <w:tcW w:w="167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4</w:t>
            </w:r>
            <w:r/>
          </w:p>
        </w:tc>
        <w:tc>
          <w:tcPr>
            <w:tcW w:w="3365" w:type="dxa"/>
            <w:vAlign w:val="center"/>
            <w:textDirection w:val="lrTb"/>
            <w:noWrap w:val="false"/>
          </w:tcPr>
          <w:p>
            <w:pPr>
              <w:jc w:val="center"/>
              <w:spacing w:line="480" w:lineRule="exact"/>
              <w:rPr>
                <w:rFonts w:hint="eastAsia" w:ascii="宋体" w:hAnsi="宋体"/>
                <w:color w:val="ff0000"/>
                <w:szCs w:val="21"/>
              </w:rPr>
            </w:pPr>
            <w:r>
              <w:rPr>
                <w:rFonts w:ascii="宋体" w:hAnsi="宋体"/>
                <w:szCs w:val="21"/>
              </w:rPr>
              <w:t xml:space="preserve">水电人员</w:t>
            </w:r>
            <w:r/>
          </w:p>
        </w:tc>
        <w:tc>
          <w:tcPr>
            <w:tcW w:w="1645" w:type="dxa"/>
            <w:vAlign w:val="center"/>
            <w:textDirection w:val="lrTb"/>
            <w:noWrap w:val="false"/>
          </w:tcPr>
          <w:p>
            <w:pPr>
              <w:jc w:val="center"/>
              <w:spacing w:line="480" w:lineRule="exact"/>
              <w:rPr>
                <w:rFonts w:hint="eastAsia" w:ascii="宋体" w:hAnsi="宋体"/>
                <w:szCs w:val="21"/>
              </w:rPr>
            </w:pPr>
            <w:r>
              <w:rPr>
                <w:rFonts w:ascii="宋体" w:hAnsi="宋体"/>
                <w:szCs w:val="21"/>
              </w:rPr>
              <w:t xml:space="preserve">1</w:t>
            </w:r>
            <w:r/>
          </w:p>
        </w:tc>
      </w:tr>
      <w:tr>
        <w:trPr>
          <w:cantSplit/>
          <w:jc w:val="center"/>
          <w:trHeight w:val="468"/>
        </w:trPr>
        <w:tc>
          <w:tcPr>
            <w:tcW w:w="1676"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5</w:t>
            </w:r>
            <w:r/>
          </w:p>
        </w:tc>
        <w:tc>
          <w:tcPr>
            <w:tcW w:w="3365" w:type="dxa"/>
            <w:vAlign w:val="center"/>
            <w:textDirection w:val="lrTb"/>
            <w:noWrap w:val="false"/>
          </w:tcPr>
          <w:p>
            <w:pPr>
              <w:jc w:val="center"/>
              <w:spacing w:line="480" w:lineRule="exact"/>
              <w:rPr>
                <w:rFonts w:hint="eastAsia" w:ascii="宋体" w:hAnsi="宋体"/>
                <w:szCs w:val="21"/>
              </w:rPr>
            </w:pPr>
            <w:r>
              <w:rPr>
                <w:rFonts w:ascii="宋体" w:hAnsi="宋体"/>
                <w:szCs w:val="21"/>
              </w:rPr>
              <w:t xml:space="preserve">保洁人员</w:t>
            </w:r>
            <w:r/>
          </w:p>
        </w:tc>
        <w:tc>
          <w:tcPr>
            <w:tcW w:w="164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1</w:t>
            </w:r>
            <w:r/>
          </w:p>
        </w:tc>
      </w:tr>
      <w:tr>
        <w:trPr>
          <w:cantSplit/>
          <w:jc w:val="center"/>
          <w:trHeight w:val="447"/>
        </w:trPr>
        <w:tc>
          <w:tcPr>
            <w:gridSpan w:val="2"/>
            <w:tcW w:w="5041"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合计</w:t>
            </w:r>
            <w:r/>
          </w:p>
        </w:tc>
        <w:tc>
          <w:tcPr>
            <w:tcW w:w="1645" w:type="dxa"/>
            <w:vAlign w:val="center"/>
            <w:textDirection w:val="lrTb"/>
            <w:noWrap w:val="false"/>
          </w:tcPr>
          <w:p>
            <w:pPr>
              <w:jc w:val="center"/>
              <w:spacing w:line="480" w:lineRule="exact"/>
              <w:rPr>
                <w:rFonts w:hint="eastAsia" w:ascii="宋体" w:hAnsi="宋体"/>
                <w:szCs w:val="21"/>
              </w:rPr>
            </w:pPr>
            <w:r>
              <w:rPr>
                <w:rFonts w:hint="eastAsia" w:ascii="宋体" w:hAnsi="宋体"/>
                <w:szCs w:val="21"/>
              </w:rPr>
              <w:t xml:space="preserve">8</w:t>
            </w:r>
            <w:r/>
          </w:p>
        </w:tc>
      </w:tr>
    </w:tbl>
    <w:p>
      <w:pPr>
        <w:ind w:firstLine="422"/>
        <w:spacing w:line="500" w:lineRule="exact"/>
        <w:rPr>
          <w:rFonts w:hint="eastAsia" w:ascii="宋体" w:hAnsi="宋体" w:cs="宋体"/>
          <w:b/>
          <w:bCs/>
        </w:rPr>
      </w:pPr>
      <w:r>
        <w:rPr>
          <w:rFonts w:hint="eastAsia" w:ascii="宋体" w:hAnsi="宋体" w:cs="宋体"/>
          <w:b/>
          <w:bCs/>
        </w:rPr>
        <w:t xml:space="preserve">（二）人员具体要求</w:t>
      </w:r>
      <w:r/>
    </w:p>
    <w:p>
      <w:pPr>
        <w:ind w:firstLine="422"/>
        <w:jc w:val="left"/>
        <w:spacing w:line="500" w:lineRule="exact"/>
        <w:widowControl/>
        <w:rPr>
          <w:rFonts w:hint="eastAsia" w:ascii="宋体" w:hAnsi="宋体"/>
          <w:b/>
          <w:bCs/>
          <w:szCs w:val="21"/>
        </w:rPr>
      </w:pPr>
      <w:r>
        <w:rPr>
          <w:rFonts w:hint="eastAsia" w:ascii="宋体" w:hAnsi="宋体"/>
          <w:b/>
          <w:bCs/>
          <w:szCs w:val="21"/>
        </w:rPr>
        <w:t xml:space="preserve">1、保安队长1名</w:t>
      </w:r>
      <w:r/>
    </w:p>
    <w:p>
      <w:pPr>
        <w:ind w:firstLine="420"/>
        <w:jc w:val="left"/>
        <w:spacing w:line="500" w:lineRule="exact"/>
        <w:widowControl/>
        <w:rPr>
          <w:rFonts w:ascii="宋体" w:hAnsi="宋体"/>
          <w:szCs w:val="21"/>
        </w:rPr>
      </w:pPr>
      <w:r>
        <w:rPr>
          <w:rFonts w:ascii="宋体" w:hAnsi="宋体"/>
          <w:szCs w:val="21"/>
        </w:rPr>
        <w:t xml:space="preserve">男</w:t>
      </w:r>
      <w:r>
        <w:rPr>
          <w:rFonts w:hint="eastAsia" w:ascii="宋体" w:hAnsi="宋体"/>
          <w:szCs w:val="21"/>
        </w:rPr>
        <w:t xml:space="preserve">性，年龄</w:t>
      </w:r>
      <w:r>
        <w:rPr>
          <w:rFonts w:ascii="宋体" w:hAnsi="宋体"/>
          <w:szCs w:val="21"/>
        </w:rPr>
        <w:t xml:space="preserve">55周岁（含）以下</w:t>
      </w:r>
      <w:r>
        <w:rPr>
          <w:rFonts w:hint="eastAsia" w:ascii="宋体" w:hAnsi="宋体"/>
          <w:szCs w:val="21"/>
        </w:rPr>
        <w:t xml:space="preserve">（以居民身份证为准）。</w:t>
      </w:r>
      <w:r/>
    </w:p>
    <w:p>
      <w:pPr>
        <w:ind w:firstLine="420"/>
        <w:jc w:val="left"/>
        <w:spacing w:line="500" w:lineRule="exact"/>
        <w:widowControl/>
        <w:rPr>
          <w:rFonts w:hint="eastAsia" w:ascii="宋体" w:hAnsi="宋体"/>
          <w:szCs w:val="21"/>
        </w:rPr>
      </w:pPr>
      <w:r>
        <w:rPr>
          <w:rFonts w:hint="eastAsia" w:ascii="宋体" w:hAnsi="宋体"/>
          <w:szCs w:val="21"/>
        </w:rPr>
        <w:t xml:space="preserve">初中以上文化，</w:t>
      </w:r>
      <w:r>
        <w:rPr>
          <w:rFonts w:ascii="宋体" w:hAnsi="宋体"/>
          <w:szCs w:val="21"/>
        </w:rPr>
        <w:t xml:space="preserve">具有物业管理安全工作经历</w:t>
      </w:r>
      <w:r>
        <w:rPr>
          <w:rFonts w:hint="eastAsia" w:ascii="宋体" w:hAnsi="宋体"/>
          <w:szCs w:val="21"/>
        </w:rPr>
        <w:t xml:space="preserve">，</w:t>
      </w:r>
      <w:r>
        <w:rPr>
          <w:rFonts w:ascii="宋体" w:hAnsi="宋体"/>
          <w:szCs w:val="21"/>
        </w:rPr>
        <w:t xml:space="preserve">身体健康，责任心强，体态良好，接受过安全保卫或相关训练，能正确使用各类消防、物防、技防器械和设备，熟悉项目环境，熟知治安管理有关法律法规。熟悉各类刑事、治安案件和各类灾害事故的应急预案。思想品质好，作风正派，无不良记录，五官端正</w:t>
      </w:r>
      <w:r>
        <w:rPr>
          <w:rFonts w:hint="eastAsia" w:ascii="宋体" w:hAnsi="宋体"/>
          <w:szCs w:val="21"/>
        </w:rPr>
        <w:t xml:space="preserve">，退伍军人优先</w:t>
      </w:r>
      <w:r>
        <w:rPr>
          <w:rFonts w:ascii="宋体" w:hAnsi="宋体"/>
          <w:szCs w:val="21"/>
        </w:rPr>
        <w:t xml:space="preserve">。</w:t>
      </w:r>
      <w:r/>
    </w:p>
    <w:p>
      <w:pPr>
        <w:ind w:firstLine="422"/>
        <w:jc w:val="left"/>
        <w:spacing w:line="500" w:lineRule="exact"/>
        <w:widowControl/>
        <w:rPr>
          <w:rFonts w:hint="eastAsia" w:ascii="宋体" w:hAnsi="宋体"/>
          <w:b/>
          <w:bCs/>
          <w:szCs w:val="21"/>
        </w:rPr>
      </w:pPr>
      <w:r>
        <w:rPr>
          <w:rFonts w:hint="eastAsia" w:ascii="宋体" w:hAnsi="宋体"/>
          <w:b/>
          <w:bCs/>
          <w:szCs w:val="21"/>
        </w:rPr>
        <w:t xml:space="preserve">2、安保员2名</w:t>
      </w:r>
      <w:r/>
    </w:p>
    <w:p>
      <w:pPr>
        <w:ind w:firstLine="420"/>
        <w:jc w:val="left"/>
        <w:spacing w:line="500" w:lineRule="exact"/>
        <w:widowControl/>
        <w:rPr>
          <w:rFonts w:ascii="宋体" w:hAnsi="宋体"/>
          <w:szCs w:val="21"/>
        </w:rPr>
      </w:pPr>
      <w:r>
        <w:rPr>
          <w:rFonts w:hint="eastAsia" w:ascii="宋体" w:hAnsi="宋体"/>
          <w:szCs w:val="21"/>
        </w:rPr>
        <w:t xml:space="preserve">男性，年龄55周岁（含）以下（以居民身份证为准）。</w:t>
      </w:r>
      <w:r/>
    </w:p>
    <w:p>
      <w:pPr>
        <w:ind w:firstLine="420"/>
        <w:jc w:val="left"/>
        <w:spacing w:line="500" w:lineRule="exact"/>
        <w:widowControl/>
        <w:rPr>
          <w:rFonts w:ascii="宋体" w:hAnsi="宋体"/>
          <w:szCs w:val="21"/>
        </w:rPr>
      </w:pPr>
      <w:r>
        <w:rPr>
          <w:rFonts w:hint="eastAsia" w:ascii="宋体" w:hAnsi="宋体"/>
          <w:szCs w:val="21"/>
        </w:rPr>
        <w:t xml:space="preserve">初中以上文化，具有物业管理安全工作经验，身体健康，责任心强，体态良好，接受过安全保卫或相关训练，能正确使用各类消防、物防、技防器械和设备，熟悉项目环境，熟知治安管理有关法律法规。熟悉各类刑事、治安案件和各类灾害事故的应急预案，无不良记录。</w:t>
      </w:r>
      <w:r/>
    </w:p>
    <w:p>
      <w:pPr>
        <w:ind w:firstLine="422"/>
        <w:jc w:val="left"/>
        <w:spacing w:line="500" w:lineRule="exact"/>
        <w:widowControl/>
        <w:rPr>
          <w:rFonts w:hint="eastAsia" w:ascii="宋体" w:hAnsi="宋体"/>
          <w:szCs w:val="21"/>
        </w:rPr>
      </w:pPr>
      <w:r>
        <w:rPr>
          <w:rFonts w:hint="eastAsia" w:ascii="宋体" w:hAnsi="宋体"/>
          <w:b/>
          <w:bCs/>
          <w:szCs w:val="21"/>
        </w:rPr>
        <w:t xml:space="preserve">3、消控室值班人员3名（不少于2名男性）</w:t>
      </w:r>
      <w:r/>
    </w:p>
    <w:p>
      <w:pPr>
        <w:ind w:firstLine="420"/>
        <w:jc w:val="left"/>
        <w:spacing w:line="500" w:lineRule="exact"/>
        <w:rPr>
          <w:rFonts w:ascii="宋体" w:hAnsi="宋体"/>
          <w:b/>
          <w:bCs/>
          <w:szCs w:val="21"/>
        </w:rPr>
      </w:pPr>
      <w:r>
        <w:rPr>
          <w:rFonts w:hint="eastAsia" w:ascii="宋体" w:hAnsi="宋体"/>
          <w:szCs w:val="21"/>
        </w:rPr>
        <w:t xml:space="preserve">男性，年龄在55周岁（含）以下（以居民身份证为准）；女性，年龄在50周岁(不含)以下（以居民身份证为准），</w:t>
      </w:r>
      <w:r>
        <w:rPr>
          <w:rFonts w:hint="eastAsia" w:ascii="宋体" w:hAnsi="宋体"/>
          <w:b/>
          <w:bCs/>
          <w:szCs w:val="21"/>
        </w:rPr>
        <w:t xml:space="preserve">均须具有建（构）筑物消防员或消防设施操作员职业资格证书。</w:t>
      </w:r>
      <w:r/>
    </w:p>
    <w:p>
      <w:pPr>
        <w:ind w:firstLine="420"/>
        <w:jc w:val="left"/>
        <w:spacing w:line="500" w:lineRule="exact"/>
        <w:rPr>
          <w:rFonts w:hint="eastAsia" w:ascii="宋体" w:hAnsi="宋体"/>
          <w:szCs w:val="21"/>
        </w:rPr>
      </w:pPr>
      <w:r>
        <w:rPr>
          <w:rFonts w:hint="eastAsia" w:ascii="宋体" w:hAnsi="宋体"/>
          <w:szCs w:val="21"/>
        </w:rPr>
        <w:t xml:space="preserve">初中以上文化，身体健康，责任心强，体态良好，接受过相关训练，能正确使用各类消防、物防，熟悉项目环境，熟知消防管理有关法律法规。熟悉处理各类灾害事故的应急预案。思想品质好，作风正派，无不良记录，五官端正。</w:t>
      </w:r>
      <w:r>
        <w:rPr>
          <w:rFonts w:hint="eastAsia" w:ascii="宋体" w:hAnsi="宋体"/>
          <w:color w:val="ee0000"/>
          <w:szCs w:val="21"/>
        </w:rPr>
        <w:t xml:space="preserve">消控室任何时间段不少于1名持证人员在岗（含节假日）。</w:t>
      </w:r>
      <w:r/>
    </w:p>
    <w:p>
      <w:pPr>
        <w:ind w:firstLine="422"/>
        <w:jc w:val="left"/>
        <w:spacing w:line="500" w:lineRule="exact"/>
        <w:rPr>
          <w:rFonts w:hint="eastAsia" w:ascii="宋体" w:hAnsi="宋体"/>
          <w:b/>
          <w:bCs/>
          <w:szCs w:val="21"/>
        </w:rPr>
      </w:pPr>
      <w:r>
        <w:rPr>
          <w:rFonts w:hint="eastAsia" w:ascii="宋体" w:hAnsi="宋体"/>
          <w:b/>
          <w:bCs/>
          <w:szCs w:val="21"/>
        </w:rPr>
        <w:t xml:space="preserve">4、水电工1名</w:t>
      </w:r>
      <w:r/>
    </w:p>
    <w:p>
      <w:pPr>
        <w:ind w:firstLine="420"/>
        <w:jc w:val="left"/>
        <w:spacing w:line="500" w:lineRule="exact"/>
        <w:rPr>
          <w:rFonts w:ascii="宋体" w:hAnsi="宋体"/>
          <w:b/>
          <w:bCs/>
          <w:szCs w:val="21"/>
        </w:rPr>
      </w:pPr>
      <w:r>
        <w:rPr>
          <w:rFonts w:hint="eastAsia" w:ascii="宋体" w:hAnsi="宋体"/>
          <w:szCs w:val="21"/>
        </w:rPr>
        <w:t xml:space="preserve">男性，年龄在55周岁（含）以下（以居民身份证为准），</w:t>
      </w:r>
      <w:r>
        <w:rPr>
          <w:rFonts w:hint="eastAsia" w:ascii="宋体" w:hAnsi="宋体"/>
          <w:b/>
          <w:bCs/>
          <w:szCs w:val="21"/>
        </w:rPr>
        <w:t xml:space="preserve">须具有省级应急管理厅颁发的高压、低压电工作业证。</w:t>
      </w:r>
      <w:r/>
    </w:p>
    <w:p>
      <w:pPr>
        <w:ind w:firstLine="420"/>
        <w:jc w:val="left"/>
        <w:spacing w:line="500" w:lineRule="exact"/>
        <w:rPr>
          <w:rFonts w:hint="eastAsia" w:ascii="宋体" w:hAnsi="宋体"/>
          <w:b/>
          <w:bCs/>
          <w:szCs w:val="21"/>
        </w:rPr>
      </w:pPr>
      <w:r>
        <w:rPr>
          <w:rFonts w:hint="eastAsia" w:ascii="宋体" w:hAnsi="宋体"/>
          <w:szCs w:val="21"/>
        </w:rPr>
        <w:t xml:space="preserve">工作日（周一至周五）在岗时间不低于8小时，手机应保持24小时开机。节假日如遇突发情况应于30分钟内到达现场进行处理。主要负责供电等设施巡检、定期检查、维修养护工作，做好水、电设备检测和各类简易维修，协助电梯、消防、空调等维保单位的维保、年检工作。遇突发事件立即投入抢修，确保各种设施的正常运行使用。配电室、泵房每日不少于巡查一次。</w:t>
      </w:r>
      <w:r/>
    </w:p>
    <w:p>
      <w:pPr>
        <w:ind w:firstLine="422"/>
        <w:jc w:val="left"/>
        <w:spacing w:line="500" w:lineRule="exact"/>
        <w:rPr>
          <w:rFonts w:hint="eastAsia" w:ascii="宋体" w:hAnsi="宋体"/>
          <w:b/>
          <w:bCs/>
          <w:szCs w:val="21"/>
        </w:rPr>
      </w:pPr>
      <w:r>
        <w:rPr>
          <w:rFonts w:hint="eastAsia" w:ascii="宋体" w:hAnsi="宋体"/>
          <w:b/>
          <w:bCs/>
          <w:szCs w:val="21"/>
        </w:rPr>
        <w:t xml:space="preserve">5、保洁员1名</w:t>
      </w:r>
      <w:r/>
    </w:p>
    <w:p>
      <w:pPr>
        <w:ind w:firstLine="420"/>
        <w:jc w:val="left"/>
        <w:spacing w:line="500" w:lineRule="exact"/>
        <w:rPr>
          <w:rFonts w:ascii="宋体" w:hAnsi="宋体"/>
          <w:szCs w:val="21"/>
        </w:rPr>
      </w:pPr>
      <w:r>
        <w:rPr>
          <w:rFonts w:hint="eastAsia" w:ascii="宋体" w:hAnsi="宋体"/>
          <w:szCs w:val="21"/>
        </w:rPr>
        <w:t xml:space="preserve">男性，年龄在60周岁(不含)以下（以居民身份证为准）；女性，年龄在50周岁(不含)以下（以居民身份证为准）。</w:t>
      </w:r>
      <w:r/>
    </w:p>
    <w:p>
      <w:pPr>
        <w:ind w:firstLine="420"/>
        <w:jc w:val="left"/>
        <w:spacing w:line="500" w:lineRule="exact"/>
        <w:rPr>
          <w:rFonts w:hint="eastAsia" w:ascii="宋体" w:hAnsi="宋体"/>
          <w:szCs w:val="21"/>
        </w:rPr>
      </w:pPr>
      <w:r>
        <w:rPr>
          <w:rFonts w:hint="eastAsia" w:ascii="宋体" w:hAnsi="宋体"/>
          <w:szCs w:val="21"/>
        </w:rPr>
        <w:t xml:space="preserve">做好清洁工作，服从管理，遵守公司规章制度、工作细致，认真完成工作任务。</w:t>
      </w:r>
      <w:r/>
    </w:p>
    <w:p>
      <w:pPr>
        <w:pStyle w:val="1119"/>
        <w:ind w:firstLine="422"/>
        <w:jc w:val="left"/>
        <w:spacing w:line="500" w:lineRule="exact"/>
        <w:widowControl/>
        <w:rPr>
          <w:rFonts w:hint="eastAsia" w:ascii="宋体" w:hAnsi="宋体"/>
          <w:b/>
          <w:bCs/>
          <w:szCs w:val="21"/>
        </w:rPr>
      </w:pPr>
      <w:r>
        <w:rPr>
          <w:rFonts w:hint="eastAsia" w:ascii="宋体" w:hAnsi="宋体"/>
          <w:b/>
          <w:bCs/>
          <w:szCs w:val="21"/>
        </w:rPr>
        <w:t xml:space="preserve">注：1.中标后，中标供应商按要求聘用相关人员，并依法签订劳动合同。所有人员进场前采购人将对其是否有违法犯罪记录进行审查，审查不通过不予留用，不得兼职。</w:t>
      </w:r>
      <w:r/>
    </w:p>
    <w:p>
      <w:pPr>
        <w:pStyle w:val="1119"/>
        <w:ind w:firstLine="422"/>
        <w:jc w:val="left"/>
        <w:spacing w:line="500" w:lineRule="exact"/>
        <w:widowControl/>
        <w:rPr>
          <w:rFonts w:hint="eastAsia" w:ascii="宋体" w:hAnsi="宋体"/>
          <w:b/>
          <w:bCs/>
          <w:szCs w:val="21"/>
        </w:rPr>
      </w:pPr>
      <w:r>
        <w:rPr>
          <w:rFonts w:hint="eastAsia" w:ascii="宋体" w:hAnsi="宋体"/>
          <w:b/>
          <w:bCs/>
          <w:szCs w:val="21"/>
        </w:rPr>
        <w:t xml:space="preserve">2.采购方有权根据工作表现、工作需求提出更换人员，中标人需在采购方提出需求一个月内完成人员更换，并完成更换人员的费用结算。</w:t>
      </w:r>
      <w:r/>
    </w:p>
    <w:p>
      <w:pPr>
        <w:pStyle w:val="1162"/>
        <w:ind w:firstLine="422"/>
        <w:jc w:val="left"/>
        <w:spacing w:line="500" w:lineRule="exact"/>
        <w:widowControl/>
        <w:rPr>
          <w:rFonts w:hint="eastAsia" w:ascii="宋体" w:hAnsi="宋体"/>
          <w:b/>
          <w:bCs/>
          <w:szCs w:val="21"/>
        </w:rPr>
      </w:pPr>
      <w:r>
        <w:rPr>
          <w:rFonts w:hint="eastAsia" w:ascii="宋体" w:hAnsi="宋体"/>
          <w:b/>
          <w:bCs/>
          <w:szCs w:val="21"/>
        </w:rPr>
        <w:t xml:space="preserve">3.所有人员均须有健康证，无重大疾病和传染病，均无犯罪记录，未受过刑事处罚，未有相关法律纠纷。由中标供应商按照相关要求招聘，并获采购方认可后进场。</w:t>
      </w:r>
      <w:r/>
    </w:p>
    <w:p>
      <w:pPr>
        <w:pStyle w:val="1119"/>
        <w:ind w:firstLine="422"/>
        <w:spacing w:line="500" w:lineRule="exact"/>
        <w:rPr>
          <w:rFonts w:hint="eastAsia" w:ascii="宋体" w:hAnsi="宋体"/>
          <w:b/>
          <w:bCs/>
          <w:szCs w:val="21"/>
        </w:rPr>
      </w:pPr>
      <w:r>
        <w:rPr>
          <w:rFonts w:hint="eastAsia" w:ascii="宋体" w:hAnsi="宋体"/>
          <w:b/>
          <w:bCs/>
          <w:szCs w:val="21"/>
        </w:rPr>
        <w:t xml:space="preserve">4.中标供应商在中标结果公告发出之日起7日内将所有人员资料（含居民身份证、健康证、相关从业证书等）交采购人审核，以上聘用的人员经采购人审核书面同意后方可上岗。</w:t>
      </w:r>
      <w:r/>
    </w:p>
    <w:p>
      <w:pPr>
        <w:pStyle w:val="1119"/>
        <w:ind w:firstLine="422"/>
        <w:spacing w:line="500" w:lineRule="exact"/>
        <w:rPr>
          <w:rFonts w:hint="eastAsia" w:ascii="宋体" w:hAnsi="宋体"/>
          <w:b/>
          <w:bCs/>
          <w:szCs w:val="21"/>
        </w:rPr>
      </w:pPr>
      <w:r>
        <w:rPr>
          <w:rFonts w:hint="eastAsia" w:ascii="宋体" w:hAnsi="宋体"/>
          <w:b/>
          <w:bCs/>
          <w:szCs w:val="21"/>
        </w:rPr>
        <w:t xml:space="preserve">5.如因中标供应商项目组成员疏忽或失职造成贵重物品被盗、毁坏或发生重大安全事故，中标人承担一切赔偿责任。履约期间，如若发生项目组成员工伤或遇项目组成员造成自身或他人人身伤亡事故及财产损失，均由中标供应商负责，与采购方无关。</w:t>
      </w:r>
      <w:r/>
    </w:p>
    <w:p>
      <w:pPr>
        <w:ind w:firstLine="422"/>
        <w:spacing w:line="500" w:lineRule="exact"/>
        <w:rPr>
          <w:rFonts w:hint="eastAsia" w:ascii="宋体" w:hAnsi="宋体"/>
          <w:b/>
          <w:bCs/>
          <w:szCs w:val="21"/>
        </w:rPr>
      </w:pPr>
      <w:r>
        <w:rPr>
          <w:rFonts w:hint="eastAsia" w:ascii="宋体" w:hAnsi="宋体"/>
          <w:b/>
          <w:bCs/>
          <w:szCs w:val="21"/>
        </w:rPr>
        <w:t xml:space="preserve">6.履约过程中，中标供应商须按照国家及地方规定按月给符合缴纳社保成员全额缴纳社保、全员购买意外险（或雇主责任险），在合同签订后7日内将意外险（或雇主责任险）购买情况报至采购人。</w:t>
      </w:r>
      <w:r/>
    </w:p>
    <w:p>
      <w:pPr>
        <w:ind w:firstLine="422"/>
        <w:jc w:val="left"/>
        <w:spacing w:line="500" w:lineRule="exact"/>
        <w:rPr>
          <w:rFonts w:hint="eastAsia" w:ascii="宋体" w:hAnsi="宋体"/>
          <w:b/>
          <w:bCs/>
          <w:szCs w:val="21"/>
        </w:rPr>
      </w:pPr>
      <w:r>
        <w:rPr>
          <w:rFonts w:hint="eastAsia" w:ascii="宋体" w:hAnsi="宋体"/>
          <w:b/>
          <w:bCs/>
          <w:szCs w:val="21"/>
        </w:rPr>
        <w:t xml:space="preserve">7、中标供应商应根据工作需要及要求安排上班人员，由中标供应商自行编制各岗位排班表报采购人审批后执行，所涉及的费用，由供应商计入此次报价中，采购人不予另计。</w:t>
      </w:r>
      <w:r/>
    </w:p>
    <w:p>
      <w:pPr>
        <w:ind w:firstLine="422"/>
        <w:jc w:val="left"/>
        <w:spacing w:line="500" w:lineRule="exact"/>
        <w:rPr>
          <w:rFonts w:hint="eastAsia" w:ascii="宋体" w:hAnsi="宋体"/>
          <w:b/>
          <w:bCs/>
          <w:szCs w:val="21"/>
        </w:rPr>
      </w:pPr>
      <w:r>
        <w:rPr>
          <w:rFonts w:hint="eastAsia" w:ascii="宋体" w:hAnsi="宋体"/>
          <w:b/>
          <w:bCs/>
          <w:szCs w:val="21"/>
        </w:rPr>
        <w:t xml:space="preserve">8、项目管理人员相关费用在管理费中列支，投标报价应考虑此项费用，今后不单独结算。</w:t>
      </w:r>
      <w:r/>
    </w:p>
    <w:p>
      <w:pPr>
        <w:ind w:firstLine="422"/>
        <w:jc w:val="left"/>
        <w:spacing w:line="500" w:lineRule="exact"/>
        <w:rPr>
          <w:rFonts w:hint="eastAsia" w:ascii="宋体" w:hAnsi="宋体"/>
          <w:b/>
          <w:bCs/>
          <w:szCs w:val="21"/>
        </w:rPr>
      </w:pPr>
      <w:r>
        <w:rPr>
          <w:rFonts w:hint="eastAsia" w:ascii="宋体" w:hAnsi="宋体"/>
          <w:b/>
          <w:bCs/>
          <w:szCs w:val="21"/>
        </w:rPr>
        <w:t xml:space="preserve">9、市救助站的水电费由中标供应商按月代缴，最终以缴费凭证据实报销（不包含在本次报价中）。</w:t>
      </w:r>
      <w:r/>
    </w:p>
    <w:p>
      <w:pPr>
        <w:ind w:firstLine="422"/>
        <w:jc w:val="left"/>
        <w:spacing w:line="500" w:lineRule="exact"/>
        <w:rPr>
          <w:rFonts w:hint="eastAsia" w:ascii="宋体" w:hAnsi="宋体"/>
          <w:b/>
          <w:bCs/>
          <w:szCs w:val="21"/>
        </w:rPr>
      </w:pPr>
      <w:r>
        <w:rPr>
          <w:rFonts w:hint="eastAsia" w:ascii="宋体" w:hAnsi="宋体"/>
          <w:b/>
          <w:bCs/>
          <w:szCs w:val="21"/>
        </w:rPr>
        <w:t xml:space="preserve">10、补栽苗木的工作由中标供应商统筹安排。</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五、付款方式</w:t>
      </w:r>
      <w:r/>
    </w:p>
    <w:p>
      <w:pPr>
        <w:ind w:firstLine="420"/>
        <w:spacing w:line="500" w:lineRule="exact"/>
        <w:rPr>
          <w:rFonts w:hint="eastAsia" w:ascii="宋体" w:hAnsi="宋体"/>
          <w:szCs w:val="21"/>
        </w:rPr>
      </w:pPr>
      <w:r>
        <w:rPr>
          <w:rFonts w:hint="eastAsia" w:ascii="宋体" w:hAnsi="宋体"/>
          <w:szCs w:val="21"/>
        </w:rPr>
        <w:t xml:space="preserve">签订合同且收到供应商发票后10个工作日内，支付10%的合同款作为预付款；剩余服务费用由采购人按月支付。中标人每月根据实际发生的所有物业服务（考核后的）费用开具合法票据，采购人在接到中标人票据10个工作日内将上个月实际发生的所有物业服务（考核后的）费用支付给中标人。</w:t>
      </w:r>
      <w:r/>
    </w:p>
    <w:p>
      <w:pPr>
        <w:ind w:firstLine="422"/>
        <w:spacing w:line="500" w:lineRule="exact"/>
        <w:rPr>
          <w:rFonts w:hint="eastAsia" w:ascii="宋体" w:hAnsi="宋体"/>
          <w:b/>
          <w:bCs/>
          <w:szCs w:val="21"/>
        </w:rPr>
      </w:pPr>
      <w:r>
        <w:rPr>
          <w:rFonts w:hint="eastAsia" w:ascii="宋体" w:hAnsi="宋体"/>
          <w:b/>
          <w:bCs/>
          <w:szCs w:val="21"/>
        </w:rPr>
        <w:t xml:space="preserve">注：在签订合同时，供应商明确表示无需预付款或者主动要求降低预付款比例的，采购人可不适用前述规定。</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六、款项支付相关要求</w:t>
      </w:r>
      <w:r/>
    </w:p>
    <w:p>
      <w:pPr>
        <w:ind w:firstLine="420"/>
        <w:spacing w:line="500" w:lineRule="exact"/>
        <w:rPr>
          <w:rFonts w:hint="eastAsia" w:ascii="宋体" w:hAnsi="宋体"/>
          <w:szCs w:val="21"/>
        </w:rPr>
      </w:pPr>
      <w:r>
        <w:rPr>
          <w:rFonts w:hint="eastAsia" w:ascii="宋体" w:hAnsi="宋体"/>
          <w:szCs w:val="21"/>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firstLine="420"/>
        <w:spacing w:line="500" w:lineRule="exact"/>
        <w:rPr>
          <w:rFonts w:hint="eastAsia" w:ascii="宋体" w:hAnsi="宋体"/>
          <w:szCs w:val="21"/>
        </w:rPr>
      </w:pPr>
      <w:r>
        <w:rPr>
          <w:rFonts w:hint="eastAsia" w:ascii="宋体" w:hAnsi="宋体"/>
          <w:szCs w:val="21"/>
        </w:rPr>
        <w:t xml:space="preserve">2、按月开展考核评价，到期按采购方出具的考核结果据实支付，其中服务费用的70%作为基本服务费用，30%作为考核费用。考核成绩在90分以上（含90分）全额支付当期全部服务费用；考核成绩在 70-90分（含70 分）之间的，当期服务费用为：基本服务费用+[（实际得分）/100]*考核费用；考核成绩在70分以下为不合格，当期服务费用为基本服务费用。</w:t>
      </w:r>
      <w:r/>
    </w:p>
    <w:p>
      <w:pPr>
        <w:pStyle w:val="1122"/>
        <w:ind w:firstLine="420"/>
        <w:spacing w:line="500" w:lineRule="exact"/>
        <w:rPr>
          <w:rFonts w:hint="eastAsia" w:ascii="宋体" w:hAnsi="宋体"/>
          <w:szCs w:val="21"/>
        </w:rPr>
      </w:pPr>
      <w:r>
        <w:rPr>
          <w:rFonts w:hint="eastAsia" w:ascii="宋体" w:hAnsi="宋体"/>
          <w:szCs w:val="21"/>
        </w:rPr>
        <w:t xml:space="preserve">3、中标人向</w:t>
      </w:r>
      <w:r>
        <w:rPr>
          <w:rFonts w:hint="eastAsia" w:ascii="宋体" w:hAnsi="宋体"/>
          <w:szCs w:val="21"/>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20"/>
        <w:spacing w:line="500" w:lineRule="exact"/>
        <w:rPr>
          <w:rFonts w:hint="eastAsia" w:ascii="宋体" w:hAnsi="宋体"/>
          <w:szCs w:val="21"/>
        </w:rPr>
      </w:pPr>
      <w:r>
        <w:rPr>
          <w:rFonts w:hint="eastAsia" w:ascii="宋体" w:hAnsi="宋体"/>
          <w:szCs w:val="21"/>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w:t>
      </w:r>
      <w:bookmarkStart w:id="134" w:name="OLE_LINK69"/>
      <w:r>
        <w:rPr>
          <w:rFonts w:hint="eastAsia" w:ascii="宋体" w:hAnsi="宋体"/>
          <w:szCs w:val="21"/>
        </w:rPr>
        <w:t xml:space="preserve">，</w:t>
      </w:r>
      <w:bookmarkEnd w:id="134"/>
      <w:r>
        <w:rPr>
          <w:rFonts w:hint="eastAsia" w:ascii="宋体" w:hAnsi="宋体"/>
          <w:szCs w:val="21"/>
        </w:rPr>
        <w:t xml:space="preserve">并按擅自变更合同违法行为报监管部门处罚。另如有违反《劳动法》等相关规定的，报相关主管部门处理。</w:t>
      </w:r>
      <w:r/>
    </w:p>
    <w:p>
      <w:pPr>
        <w:pStyle w:val="1122"/>
        <w:ind w:firstLine="420"/>
        <w:spacing w:line="500" w:lineRule="exact"/>
        <w:rPr>
          <w:rFonts w:hint="eastAsia" w:ascii="宋体" w:hAnsi="宋体"/>
          <w:szCs w:val="21"/>
        </w:rPr>
      </w:pPr>
      <w:r>
        <w:rPr>
          <w:rFonts w:hint="eastAsia" w:ascii="宋体" w:hAnsi="宋体"/>
          <w:szCs w:val="21"/>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七、报价要求</w:t>
      </w:r>
      <w:r/>
    </w:p>
    <w:p>
      <w:pPr>
        <w:ind w:firstLine="420"/>
        <w:spacing w:line="500" w:lineRule="exact"/>
        <w:rPr>
          <w:rFonts w:hint="eastAsia" w:ascii="宋体" w:hAnsi="宋体" w:cs="方正仿宋_GBK"/>
          <w:szCs w:val="21"/>
        </w:rPr>
      </w:pPr>
      <w:r>
        <w:rPr>
          <w:rFonts w:hint="eastAsia" w:ascii="宋体" w:hAnsi="宋体" w:cs="方正仿宋_GBK"/>
          <w:szCs w:val="21"/>
        </w:rPr>
        <w:t xml:space="preserve">1、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ind w:firstLine="422"/>
        <w:jc w:val="left"/>
        <w:spacing w:line="500" w:lineRule="exact"/>
        <w:widowControl/>
        <w:rPr>
          <w:rFonts w:hint="eastAsia" w:ascii="宋体" w:hAnsi="宋体" w:cs="方正仿宋_GBK"/>
          <w:b/>
          <w:bCs/>
          <w:i/>
          <w:iCs/>
          <w:szCs w:val="21"/>
          <w:u w:val="single"/>
        </w:rPr>
      </w:pPr>
      <w:r>
        <w:rPr>
          <w:rFonts w:hint="eastAsia" w:ascii="宋体" w:hAnsi="宋体" w:cs="方正仿宋_GBK"/>
          <w:b/>
          <w:bCs/>
          <w:i/>
          <w:iCs/>
          <w:szCs w:val="21"/>
          <w:u w:val="single"/>
        </w:rPr>
        <w:t xml:space="preserve">2、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firstLine="422"/>
        <w:jc w:val="left"/>
        <w:spacing w:line="500" w:lineRule="exact"/>
        <w:widowControl/>
        <w:rPr>
          <w:rFonts w:hint="eastAsia" w:ascii="宋体" w:hAnsi="宋体" w:cs="方正仿宋_GBK"/>
          <w:b/>
          <w:bCs/>
          <w:i/>
          <w:iCs/>
          <w:szCs w:val="21"/>
          <w:u w:val="single"/>
        </w:rPr>
      </w:pPr>
      <w:r>
        <w:rPr>
          <w:rFonts w:hint="eastAsia" w:ascii="宋体" w:hAnsi="宋体" w:cs="方正仿宋_GBK"/>
          <w:b/>
          <w:bCs/>
          <w:i/>
          <w:iCs/>
          <w:szCs w:val="21"/>
          <w:u w:val="single"/>
        </w:rPr>
        <w:t xml:space="preserve">3、投标人应在投标分项报价表中为项目组所有成员（合计8人）填报、购买意外险（或雇主责任险），保险单价不得低于本单位2025年1月1日以来任意一次为员工购买意外险或雇主责任险的单价（提供保险机构出具的保险凭证，凭证中应明确反映本单位员工保险内容和价格）。否则，按无效标处理。</w:t>
      </w:r>
      <w:r/>
    </w:p>
    <w:p>
      <w:pPr>
        <w:ind w:firstLine="422"/>
        <w:jc w:val="left"/>
        <w:spacing w:line="500" w:lineRule="exact"/>
        <w:widowControl/>
        <w:rPr>
          <w:rFonts w:hint="eastAsia" w:ascii="宋体" w:hAnsi="宋体" w:cs="方正仿宋_GBK"/>
          <w:b/>
          <w:bCs/>
          <w:i/>
          <w:iCs/>
          <w:szCs w:val="21"/>
          <w:u w:val="single"/>
        </w:rPr>
      </w:pPr>
      <w:r>
        <w:rPr>
          <w:rFonts w:hint="eastAsia" w:ascii="宋体" w:hAnsi="宋体" w:cs="方正仿宋_GBK"/>
          <w:b/>
          <w:bCs/>
          <w:i/>
          <w:iCs/>
          <w:szCs w:val="21"/>
          <w:u w:val="single"/>
        </w:rPr>
        <w:t xml:space="preserve">4、投标人应在投标分项报价表中为保安队长（1名）、安保人员（2名）、消控室值班人员（3名）、水电人员（1名）、保洁人员（1名），合计8人，全额填报、购买社保，否则，按无效标处理。</w:t>
      </w:r>
      <w:r/>
    </w:p>
    <w:p>
      <w:pPr>
        <w:ind w:firstLine="420"/>
        <w:jc w:val="left"/>
        <w:spacing w:line="500" w:lineRule="exact"/>
        <w:widowControl/>
        <w:rPr>
          <w:rFonts w:hint="eastAsia" w:ascii="宋体" w:hAnsi="宋体"/>
          <w:szCs w:val="21"/>
        </w:rPr>
      </w:pPr>
      <w:r>
        <w:rPr>
          <w:rFonts w:hint="eastAsia" w:ascii="宋体" w:hAnsi="宋体"/>
          <w:szCs w:val="21"/>
        </w:rPr>
        <w:t xml:space="preserve">下表为宿迁市社保最低缴纳标准，投标人应按不低于此标准报价。社保缴纳应当符合行政主管部门相关规定。如遇政策调整，投标人自行承担。</w:t>
      </w:r>
      <w:r/>
    </w:p>
    <w:tbl>
      <w:tblPr>
        <w:tblStyle w:val="809"/>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序号</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名称</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jc w:val="center"/>
              <w:spacing w:line="480" w:lineRule="exact"/>
              <w:rPr>
                <w:rFonts w:hint="eastAsia" w:ascii="宋体" w:hAnsi="宋体" w:cs="方正仿宋_GBK"/>
                <w:szCs w:val="21"/>
              </w:rPr>
            </w:pPr>
            <w:r>
              <w:rPr>
                <w:rFonts w:hint="eastAsia" w:ascii="宋体" w:hAnsi="宋体" w:cs="方正仿宋_GBK"/>
                <w:szCs w:val="21"/>
              </w:rPr>
              <w:t xml:space="preserve">计算公式</w:t>
            </w:r>
            <w:r/>
          </w:p>
        </w:tc>
      </w:tr>
      <w:tr>
        <w:trPr>
          <w:jc w:val="center"/>
          <w:trHeight w:val="1345"/>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ind w:firstLine="241"/>
              <w:jc w:val="left"/>
              <w:spacing w:line="480" w:lineRule="exact"/>
              <w:rPr>
                <w:rFonts w:hint="eastAsia" w:ascii="宋体" w:hAnsi="宋体" w:cs="方正仿宋_GBK"/>
                <w:szCs w:val="21"/>
              </w:rPr>
            </w:pPr>
            <w:r>
              <w:rPr>
                <w:rFonts w:hint="eastAsia" w:ascii="宋体" w:hAnsi="宋体" w:cs="方正仿宋_GBK"/>
                <w:szCs w:val="21"/>
              </w:rPr>
              <w:t xml:space="preserve">1</w:t>
            </w:r>
            <w:r/>
          </w:p>
        </w:tc>
        <w:tc>
          <w:tcPr>
            <w:tcBorders>
              <w:top w:val="single" w:color="000000" w:sz="4" w:space="0"/>
              <w:left w:val="single" w:color="000000" w:sz="4" w:space="0"/>
              <w:bottom w:val="single" w:color="000000" w:sz="4" w:space="0"/>
              <w:right w:val="single" w:color="000000" w:sz="4" w:space="0"/>
            </w:tcBorders>
            <w:tcW w:w="1721" w:type="dxa"/>
            <w:vAlign w:val="center"/>
            <w:textDirection w:val="lrTb"/>
            <w:noWrap w:val="false"/>
          </w:tcPr>
          <w:p>
            <w:pPr>
              <w:jc w:val="left"/>
              <w:spacing w:line="480" w:lineRule="exact"/>
              <w:rPr>
                <w:rFonts w:hint="eastAsia" w:ascii="宋体" w:hAnsi="宋体" w:cs="方正仿宋_GBK"/>
                <w:szCs w:val="21"/>
              </w:rPr>
            </w:pPr>
            <w:r>
              <w:rPr>
                <w:rFonts w:hint="eastAsia" w:ascii="宋体" w:hAnsi="宋体" w:cs="方正仿宋_GBK"/>
                <w:szCs w:val="21"/>
              </w:rPr>
              <w:t xml:space="preserve">单位社保缴纳标准及费用</w:t>
            </w:r>
            <w:r/>
          </w:p>
        </w:tc>
        <w:tc>
          <w:tcPr>
            <w:tcBorders>
              <w:top w:val="single" w:color="000000" w:sz="4" w:space="0"/>
              <w:left w:val="single" w:color="000000" w:sz="4" w:space="0"/>
              <w:bottom w:val="single" w:color="000000" w:sz="4" w:space="0"/>
              <w:right w:val="single" w:color="000000" w:sz="4" w:space="0"/>
            </w:tcBorders>
            <w:tcW w:w="6167" w:type="dxa"/>
            <w:vAlign w:val="center"/>
            <w:textDirection w:val="lrTb"/>
            <w:noWrap w:val="false"/>
          </w:tcPr>
          <w:p>
            <w:pPr>
              <w:jc w:val="left"/>
              <w:spacing w:line="480" w:lineRule="exact"/>
              <w:rPr>
                <w:rFonts w:hint="eastAsia" w:ascii="宋体" w:hAnsi="宋体" w:cs="方正仿宋_GBK"/>
                <w:szCs w:val="21"/>
              </w:rPr>
            </w:pPr>
            <w:r>
              <w:rPr>
                <w:rFonts w:hint="eastAsia" w:ascii="宋体" w:hAnsi="宋体" w:cs="方正仿宋_GBK"/>
                <w:szCs w:val="21"/>
              </w:rPr>
              <w:t xml:space="preserve">缴费基数(≥4952)*【16%(养老保险)+0.5%(失业险)+7%(医疗保险)+1%(生育险)+0.4%(工伤险)】+5</w:t>
            </w:r>
            <w:r/>
          </w:p>
        </w:tc>
      </w:tr>
    </w:tbl>
    <w:p>
      <w:pPr>
        <w:ind w:firstLine="482"/>
        <w:jc w:val="left"/>
        <w:spacing w:line="480" w:lineRule="exact"/>
        <w:widowControl/>
        <w:rPr>
          <w:rFonts w:hint="eastAsia" w:ascii="宋体" w:hAnsi="宋体"/>
          <w:b/>
          <w:iCs/>
          <w:szCs w:val="21"/>
        </w:rPr>
      </w:pPr>
      <w:r>
        <w:rPr>
          <w:rFonts w:hint="eastAsia" w:ascii="宋体" w:hAnsi="宋体"/>
          <w:b/>
          <w:iCs/>
          <w:szCs w:val="21"/>
        </w:rPr>
        <w:t xml:space="preserve">注:社保金额≥1238.048(4952*24.9%+5)，因报价最多保留至小数点后两位，故该项最小有效数值为1238.05元。</w:t>
      </w:r>
      <w:bookmarkStart w:id="175" w:name="_GoBack"/>
      <w:r/>
      <w:bookmarkEnd w:id="175"/>
      <w:r/>
      <w:r/>
    </w:p>
    <w:p>
      <w:pPr>
        <w:ind w:firstLine="482"/>
        <w:jc w:val="left"/>
        <w:spacing w:line="480" w:lineRule="exact"/>
        <w:widowControl/>
        <w:rPr>
          <w:rFonts w:hint="eastAsia" w:ascii="宋体" w:hAnsi="宋体" w:cs="方正仿宋_GBK"/>
          <w:szCs w:val="21"/>
        </w:rPr>
      </w:pPr>
      <w:r>
        <w:rPr>
          <w:rFonts w:hint="eastAsia" w:ascii="宋体" w:hAnsi="宋体"/>
          <w:szCs w:val="21"/>
        </w:rPr>
        <w:t xml:space="preserve">5、为保证服务队伍的整体素质和相对稳定性，投标人应充分考虑管理和服务人员的工资待遇。投标人要综合考虑宿迁劳动市场因素，激发员工积极性，不同岗位合理分配工资。</w:t>
      </w:r>
      <w:r/>
    </w:p>
    <w:p>
      <w:pPr>
        <w:ind w:firstLine="482"/>
        <w:jc w:val="left"/>
        <w:spacing w:line="480" w:lineRule="exact"/>
        <w:widowControl/>
        <w:rPr>
          <w:rFonts w:hint="eastAsia" w:ascii="宋体" w:hAnsi="宋体" w:cs="方正仿宋_GBK"/>
          <w:b/>
          <w:bCs w:val="0"/>
          <w:i/>
          <w:szCs w:val="21"/>
          <w:highlight w:val="none"/>
          <w:u w:val="single"/>
          <w:lang w:bidi="zh-CN"/>
        </w:rPr>
      </w:pPr>
      <w:r>
        <w:rPr>
          <w:rFonts w:hint="eastAsia" w:ascii="宋体" w:hAnsi="宋体" w:cs="方正仿宋_GBK"/>
          <w:b/>
          <w:bCs w:val="0"/>
          <w:i/>
          <w:szCs w:val="21"/>
          <w:highlight w:val="none"/>
          <w:u w:val="single"/>
          <w:lang w:bidi="zh-CN"/>
        </w:rPr>
        <w:t xml:space="preserve">人员工资不得低于宿迁市目前最低工资标准，即按照《关于调整全</w:t>
      </w:r>
      <w:r>
        <w:rPr>
          <w:rFonts w:hint="eastAsia" w:ascii="宋体" w:hAnsi="宋体" w:cs="方正仿宋_GBK"/>
          <w:b/>
          <w:bCs w:val="0"/>
          <w:i/>
          <w:szCs w:val="21"/>
          <w:highlight w:val="none"/>
          <w:u w:val="single"/>
          <w:lang w:val="en-US" w:bidi="zh-CN"/>
        </w:rPr>
        <w:t xml:space="preserve">市最低工资标准的通知</w:t>
      </w:r>
      <w:r>
        <w:rPr>
          <w:rFonts w:hint="eastAsia" w:ascii="宋体" w:hAnsi="宋体" w:cs="方正仿宋_GBK"/>
          <w:b/>
          <w:bCs w:val="0"/>
          <w:i/>
          <w:szCs w:val="21"/>
          <w:highlight w:val="none"/>
          <w:u w:val="single"/>
          <w:lang w:bidi="zh-CN"/>
        </w:rPr>
        <w:t xml:space="preserve">》（</w:t>
      </w:r>
      <w:r>
        <w:rPr>
          <w:rFonts w:hint="eastAsia" w:ascii="宋体" w:hAnsi="宋体" w:cs="方正仿宋_GBK"/>
          <w:b/>
          <w:bCs w:val="0"/>
          <w:i/>
          <w:szCs w:val="21"/>
          <w:highlight w:val="none"/>
          <w:u w:val="single"/>
          <w:lang w:val="en-US" w:bidi="zh-CN"/>
        </w:rPr>
        <w:t xml:space="preserve">宿</w:t>
      </w:r>
      <w:r>
        <w:rPr>
          <w:rFonts w:hint="eastAsia" w:ascii="宋体" w:hAnsi="宋体" w:cs="方正仿宋_GBK"/>
          <w:b/>
          <w:bCs w:val="0"/>
          <w:i/>
          <w:szCs w:val="21"/>
          <w:highlight w:val="none"/>
          <w:u w:val="single"/>
          <w:lang w:bidi="zh-CN"/>
        </w:rPr>
        <w:t xml:space="preserve">人社</w:t>
      </w:r>
      <w:r>
        <w:rPr>
          <w:rFonts w:hint="eastAsia" w:ascii="宋体" w:hAnsi="宋体" w:cs="方正仿宋_GBK"/>
          <w:b/>
          <w:bCs w:val="0"/>
          <w:i/>
          <w:szCs w:val="21"/>
          <w:highlight w:val="none"/>
          <w:u w:val="single"/>
          <w:lang w:val="en-US" w:bidi="zh-CN"/>
        </w:rPr>
        <w:t xml:space="preserve">发</w:t>
      </w:r>
      <w:r>
        <w:rPr>
          <w:rFonts w:hint="eastAsia" w:ascii="宋体" w:hAnsi="宋体" w:cs="方正仿宋_GBK"/>
          <w:b/>
          <w:bCs w:val="0"/>
          <w:i/>
          <w:szCs w:val="21"/>
          <w:highlight w:val="none"/>
          <w:u w:val="single"/>
          <w:lang w:bidi="zh-CN"/>
        </w:rPr>
        <w:t xml:space="preserve">〔2025〕</w:t>
      </w:r>
      <w:r>
        <w:rPr>
          <w:rFonts w:hint="eastAsia" w:ascii="宋体" w:hAnsi="宋体" w:cs="方正仿宋_GBK"/>
          <w:b/>
          <w:bCs w:val="0"/>
          <w:i/>
          <w:szCs w:val="21"/>
          <w:highlight w:val="none"/>
          <w:u w:val="single"/>
          <w:lang w:val="en-US" w:bidi="zh-CN"/>
        </w:rPr>
        <w:t xml:space="preserve">29</w:t>
      </w:r>
      <w:r>
        <w:rPr>
          <w:rFonts w:hint="eastAsia" w:ascii="宋体" w:hAnsi="宋体" w:cs="方正仿宋_GBK"/>
          <w:b/>
          <w:bCs w:val="0"/>
          <w:i/>
          <w:szCs w:val="21"/>
          <w:highlight w:val="none"/>
          <w:u w:val="single"/>
          <w:lang w:bidi="zh-CN"/>
        </w:rPr>
        <w:t xml:space="preserve">号）</w:t>
      </w:r>
      <w:r>
        <w:rPr>
          <w:rFonts w:hint="eastAsia" w:ascii="宋体" w:hAnsi="宋体" w:cs="方正仿宋_GBK"/>
          <w:b/>
          <w:bCs w:val="0"/>
          <w:i/>
          <w:szCs w:val="21"/>
          <w:highlight w:val="none"/>
          <w:u w:val="single"/>
          <w:lang w:val="en-US" w:bidi="zh-CN"/>
        </w:rPr>
        <w:t xml:space="preserve">政策</w:t>
      </w:r>
      <w:r>
        <w:rPr>
          <w:rFonts w:hint="eastAsia" w:ascii="宋体" w:hAnsi="宋体" w:cs="方正仿宋_GBK"/>
          <w:b/>
          <w:bCs w:val="0"/>
          <w:i/>
          <w:szCs w:val="21"/>
          <w:highlight w:val="none"/>
          <w:u w:val="single"/>
          <w:lang w:bidi="zh-CN"/>
        </w:rPr>
        <w:t xml:space="preserve">执行，否则按无效标处理。</w:t>
      </w:r>
      <w:r/>
    </w:p>
    <w:p>
      <w:pPr>
        <w:ind w:firstLine="482"/>
        <w:jc w:val="left"/>
        <w:spacing w:line="480" w:lineRule="exact"/>
        <w:widowControl/>
        <w:rPr>
          <w:rFonts w:hint="eastAsia" w:ascii="宋体" w:hAnsi="宋体" w:cs="方正仿宋_GBK"/>
        </w:rPr>
      </w:pPr>
      <w:r>
        <w:rPr>
          <w:rFonts w:hint="eastAsia" w:ascii="宋体" w:hAnsi="宋体"/>
          <w:szCs w:val="21"/>
        </w:rPr>
        <w:t xml:space="preserve">6、</w:t>
      </w:r>
      <w:r>
        <w:rPr>
          <w:rFonts w:hint="eastAsia" w:ascii="宋体" w:hAnsi="宋体" w:cs="方正仿宋_GBK"/>
        </w:rPr>
        <w:t xml:space="preserve">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7、项目履约过程中，中标人应根据工作需要，安排好双休日及节假日的值班人员，编制各岗位排班表报采购人备案后执行，所涉及的费用，包含在此次报价中。</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8、中标单位每月15日前需将人员工资支付、社保缴纳情况报采购人备案。</w:t>
      </w:r>
      <w:r/>
    </w:p>
    <w:p>
      <w:pPr>
        <w:ind w:firstLine="482"/>
        <w:jc w:val="left"/>
        <w:spacing w:line="480" w:lineRule="exact"/>
        <w:widowControl/>
        <w:rPr>
          <w:rFonts w:hint="eastAsia" w:ascii="宋体" w:hAnsi="宋体" w:cs="方正仿宋_GBK"/>
          <w:szCs w:val="21"/>
          <w:lang w:bidi="zh-CN"/>
        </w:rPr>
      </w:pPr>
      <w:r>
        <w:rPr>
          <w:rFonts w:hint="eastAsia" w:ascii="宋体" w:hAnsi="宋体" w:cs="方正仿宋_GBK"/>
          <w:szCs w:val="21"/>
          <w:lang w:bidi="zh-CN"/>
        </w:rPr>
        <w:t xml:space="preserve">9、其他物业管理服务质量要求按江苏省、宿迁市有关标准及采购需求执行，涉及费用均包含在本次投标报价中。</w:t>
      </w:r>
      <w:r/>
    </w:p>
    <w:p>
      <w:pPr>
        <w:ind w:firstLine="482"/>
        <w:jc w:val="left"/>
        <w:spacing w:line="480" w:lineRule="exact"/>
        <w:rPr>
          <w:rFonts w:hint="eastAsia" w:ascii="宋体" w:hAnsi="宋体" w:cs="方正仿宋_GBK"/>
          <w:szCs w:val="21"/>
          <w:lang w:bidi="zh-CN"/>
        </w:rPr>
      </w:pPr>
      <w:r>
        <w:rPr>
          <w:rFonts w:hint="eastAsia" w:ascii="宋体" w:hAnsi="宋体" w:cs="方正仿宋_GBK"/>
          <w:szCs w:val="21"/>
          <w:lang w:bidi="zh-CN"/>
        </w:rPr>
        <w:t xml:space="preserve">10、中标单位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562"/>
        <w:keepLines/>
        <w:keepNext/>
        <w:spacing w:line="500" w:lineRule="exact"/>
        <w:rPr>
          <w:rFonts w:ascii="Arial" w:hAnsi="Arial"/>
          <w:b/>
          <w:color w:val="000000"/>
          <w:sz w:val="28"/>
        </w:rPr>
        <w:outlineLvl w:val="1"/>
      </w:pPr>
      <w:r>
        <w:rPr>
          <w:rFonts w:hint="eastAsia" w:ascii="Arial" w:hAnsi="Arial"/>
          <w:b/>
          <w:color w:val="000000"/>
          <w:sz w:val="28"/>
        </w:rPr>
        <w:t xml:space="preserve">八、考核标准</w:t>
      </w:r>
      <w:r/>
    </w:p>
    <w:tbl>
      <w:tblPr>
        <w:tblStyle w:val="809"/>
        <w:tblpPr w:horzAnchor="page" w:tblpXSpec="center" w:vertAnchor="text" w:tblpY="930" w:leftFromText="180" w:topFromText="0" w:rightFromText="180" w:bottomFromText="0"/>
        <w:tblW w:w="87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1701"/>
        <w:gridCol w:w="5670"/>
      </w:tblGrid>
      <w:tr>
        <w:trPr>
          <w:trHeight w:val="662"/>
        </w:trPr>
        <w:tc>
          <w:tcPr>
            <w:tcW w:w="1413"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项目</w:t>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评分项</w:t>
            </w:r>
            <w:r/>
          </w:p>
        </w:tc>
        <w:tc>
          <w:tcPr>
            <w:tcW w:w="5670"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评核内容及标准</w:t>
            </w:r>
            <w:r/>
          </w:p>
        </w:tc>
      </w:tr>
      <w:tr>
        <w:trPr>
          <w:cantSplit/>
          <w:trHeight w:val="673"/>
        </w:trPr>
        <w:tc>
          <w:tcPr>
            <w:tcW w:w="1413" w:type="dxa"/>
            <w:vAlign w:val="center"/>
            <w:vMerge w:val="restart"/>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综合管理</w:t>
            </w:r>
            <w:r/>
          </w:p>
          <w:p>
            <w:pPr>
              <w:jc w:val="left"/>
              <w:spacing w:line="360" w:lineRule="exact"/>
              <w:widowControl/>
              <w:rPr>
                <w:rFonts w:hint="eastAsia" w:ascii="宋体" w:hAnsi="宋体" w:cs="宋体"/>
                <w:bCs/>
                <w:szCs w:val="21"/>
              </w:rPr>
            </w:pPr>
            <w:r>
              <w:rPr>
                <w:rFonts w:hint="eastAsia" w:ascii="宋体" w:hAnsi="宋体" w:cs="宋体"/>
                <w:bCs/>
                <w:szCs w:val="21"/>
              </w:rPr>
              <w:t xml:space="preserve">（45）分</w:t>
            </w:r>
            <w:r/>
          </w:p>
        </w:tc>
        <w:tc>
          <w:tcPr>
            <w:tcW w:w="1701" w:type="dxa"/>
            <w:vAlign w:val="center"/>
            <w:vMerge w:val="restart"/>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人员配置及稳定性(5分）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派驻现场的人员是否符合合同约定、招标文件要求。未经报备批准随意变更派驻人员的，一次扣2分。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continue"/>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坚守岗位，执行岗位责任制，按时交接班，严禁脱岗，缺岗，发现脱岗、缺岗一次，扣1分。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continue"/>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法定须持证上岗的岗位人员均持证上岗，发现无证上岗的，一次扣1分。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社会保险缴纳情况（10分）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是否按月及时全员全额缴纳社会保险，每发现一人未及时缴纳的，一次扣1分。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工资发放情况（10分）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是否按月及时发放工资，每发现一人未及时发放的，一次扣1分。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计划与执行</w:t>
            </w:r>
            <w:r/>
          </w:p>
          <w:p>
            <w:pPr>
              <w:jc w:val="center"/>
              <w:spacing w:line="360" w:lineRule="exact"/>
              <w:widowControl/>
              <w:rPr>
                <w:rFonts w:hint="eastAsia" w:ascii="宋体" w:hAnsi="宋体" w:cs="宋体"/>
                <w:bCs/>
                <w:szCs w:val="21"/>
              </w:rPr>
            </w:pPr>
            <w:r>
              <w:rPr>
                <w:rFonts w:hint="eastAsia" w:ascii="宋体" w:hAnsi="宋体" w:cs="宋体"/>
                <w:bCs/>
                <w:szCs w:val="21"/>
              </w:rPr>
              <w:t xml:space="preserve">（10分）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各项工作按照服务方案、月度工作计划执行，每季度制定培训计划，并落实到位。</w:t>
            </w:r>
            <w:r/>
          </w:p>
        </w:tc>
      </w:tr>
      <w:tr>
        <w:trPr>
          <w:cantSplit/>
          <w:trHeight w:val="446"/>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设备设施配置（3分）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按照响应文件条款配备并使用到位，设备设施不到位的，发现一次扣1分。</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restart"/>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着装仪容仪表</w:t>
            </w:r>
            <w:r/>
          </w:p>
          <w:p>
            <w:pPr>
              <w:jc w:val="center"/>
              <w:spacing w:line="360" w:lineRule="exact"/>
              <w:widowControl/>
              <w:rPr>
                <w:rFonts w:hint="eastAsia" w:ascii="宋体" w:hAnsi="宋体" w:cs="宋体"/>
                <w:bCs/>
                <w:szCs w:val="21"/>
              </w:rPr>
            </w:pPr>
            <w:r>
              <w:rPr>
                <w:rFonts w:hint="eastAsia" w:ascii="宋体" w:hAnsi="宋体" w:cs="宋体"/>
                <w:bCs/>
                <w:szCs w:val="21"/>
              </w:rPr>
              <w:t xml:space="preserve">(2分)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保安、保洁均按规定穿着制服，佩戴齐全、正确，装备佩戴正确。</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continue"/>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保持良好的形象和精神状态，注意仪容仪表，礼貌礼节。</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紧急情况处理</w:t>
            </w:r>
            <w:r/>
          </w:p>
          <w:p>
            <w:pPr>
              <w:jc w:val="center"/>
              <w:spacing w:line="360" w:lineRule="exact"/>
              <w:widowControl/>
              <w:rPr>
                <w:rFonts w:hint="eastAsia" w:ascii="宋体" w:hAnsi="宋体" w:cs="宋体"/>
                <w:bCs/>
                <w:szCs w:val="21"/>
              </w:rPr>
            </w:pPr>
            <w:r>
              <w:rPr>
                <w:rFonts w:hint="eastAsia" w:ascii="宋体" w:hAnsi="宋体" w:cs="宋体"/>
                <w:bCs/>
                <w:szCs w:val="21"/>
              </w:rPr>
              <w:t xml:space="preserve">(3分)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针对不同突发情况，有应急处理预案，有应急演练，遇到突发情况及时处理并报告采购方。</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工作环境(2分)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工作岗位整洁卫生，桌面、抽屉物品摆放有序、无杂物，地面整洁、墙面洁净、公共设施设备无明显灰尘、污垢。</w:t>
            </w:r>
            <w:r/>
          </w:p>
        </w:tc>
      </w:tr>
      <w:tr>
        <w:trPr>
          <w:cantSplit/>
          <w:trHeight w:val="90"/>
        </w:trPr>
        <w:tc>
          <w:tcPr>
            <w:tcW w:w="1413" w:type="dxa"/>
            <w:vAlign w:val="center"/>
            <w:vMerge w:val="restart"/>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防范秩序维护（18分）</w:t>
            </w:r>
            <w:r/>
          </w:p>
        </w:tc>
        <w:tc>
          <w:tcPr>
            <w:tcW w:w="1701" w:type="dxa"/>
            <w:vAlign w:val="center"/>
            <w:vMerge w:val="restart"/>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访客管理(6分)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严格执行访客管理，对外来人员按规定进行登记、核实后准许进入办公区域。</w:t>
            </w:r>
            <w:r/>
          </w:p>
        </w:tc>
      </w:tr>
      <w:tr>
        <w:trPr>
          <w:cantSplit/>
          <w:trHeight w:val="560"/>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严防站内受助人员走失，发现有未经允许擅自离站的受助人员立即阻止。</w:t>
            </w:r>
            <w:r/>
          </w:p>
        </w:tc>
      </w:tr>
      <w:tr>
        <w:trPr>
          <w:cantSplit/>
          <w:trHeight w:val="1026"/>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应急处理技能(6分)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工作人员熟悉消防基本知识及紧急救助电话，掌握消防设施设备的使用方法并能及时处理突发情况。制订有突发火灾的应急方案，在明显处设立消防疏散示意图，照明设施、引路标志完好，紧急疏散通道畅通无阻。</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执勤与巡视管理(6分)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落实24小时周边巡逻制度，定时定点巡回巡逻，不存在漏点、迟到现象，巡逻认真，能及时发现问题并会妥善解决处理。对巡逻检查监督；做好定期巡查、检验区域不安全因素及异常现象及时处理。</w:t>
            </w:r>
            <w:r/>
          </w:p>
        </w:tc>
      </w:tr>
      <w:tr>
        <w:trPr>
          <w:cantSplit/>
          <w:trHeight w:val="672"/>
        </w:trPr>
        <w:tc>
          <w:tcPr>
            <w:tcW w:w="1413" w:type="dxa"/>
            <w:vAlign w:val="center"/>
            <w:vMerge w:val="restart"/>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环境管理</w:t>
            </w:r>
            <w:r/>
          </w:p>
          <w:p>
            <w:pPr>
              <w:jc w:val="left"/>
              <w:spacing w:line="360" w:lineRule="exact"/>
              <w:widowControl/>
              <w:rPr>
                <w:rFonts w:hint="eastAsia" w:ascii="宋体" w:hAnsi="宋体" w:cs="宋体"/>
                <w:bCs/>
                <w:szCs w:val="21"/>
              </w:rPr>
            </w:pPr>
            <w:r>
              <w:rPr>
                <w:rFonts w:hint="eastAsia" w:ascii="宋体" w:hAnsi="宋体" w:cs="宋体"/>
                <w:bCs/>
                <w:szCs w:val="21"/>
              </w:rPr>
              <w:t xml:space="preserve">（12分）</w:t>
            </w:r>
            <w:r/>
          </w:p>
        </w:tc>
        <w:tc>
          <w:tcPr>
            <w:tcW w:w="1701" w:type="dxa"/>
            <w:vAlign w:val="center"/>
            <w:vMerge w:val="restart"/>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环境卫生(12分)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公共区域保持清洁，无烟头，纸屑，无占用和堆放杂物现象，无乱贴、乱画，楼梯、扶栏、玻璃窗等保持洁净。</w:t>
            </w:r>
            <w:r/>
          </w:p>
        </w:tc>
      </w:tr>
      <w:tr>
        <w:trPr>
          <w:cantSplit/>
          <w:trHeight w:val="915"/>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垃圾及时清运，无跑冒滴漏，垃圾桶定期清洁消毒；卫生间清洁，无污染，无水渍，无异味。垃圾未及时清洁处理，发现一次扣1分。</w:t>
            </w:r>
            <w:r/>
          </w:p>
        </w:tc>
      </w:tr>
      <w:tr>
        <w:trPr>
          <w:cantSplit/>
          <w:trHeight w:val="604"/>
        </w:trPr>
        <w:tc>
          <w:tcPr>
            <w:tcW w:w="1413" w:type="dxa"/>
            <w:vAlign w:val="center"/>
            <w:vMerge w:val="restart"/>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工程管理</w:t>
            </w:r>
            <w:r/>
          </w:p>
          <w:p>
            <w:pPr>
              <w:jc w:val="left"/>
              <w:spacing w:line="360" w:lineRule="exact"/>
              <w:widowControl/>
              <w:rPr>
                <w:rFonts w:hint="eastAsia" w:ascii="宋体" w:hAnsi="宋体" w:cs="宋体"/>
                <w:bCs/>
                <w:szCs w:val="21"/>
              </w:rPr>
            </w:pPr>
            <w:r>
              <w:rPr>
                <w:rFonts w:hint="eastAsia" w:ascii="宋体" w:hAnsi="宋体" w:cs="宋体"/>
                <w:bCs/>
                <w:szCs w:val="21"/>
              </w:rPr>
              <w:t xml:space="preserve">（25分）</w:t>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消防系统是否正常(10分)</w:t>
            </w:r>
            <w:r/>
          </w:p>
        </w:tc>
        <w:tc>
          <w:tcPr>
            <w:tcW w:w="5670" w:type="dxa"/>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消防系统设备完好无损，可随时正常启用。发生设备损坏、老旧的，要及时报备。</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其他设备是否正常(6分)</w:t>
            </w:r>
            <w:r/>
          </w:p>
        </w:tc>
        <w:tc>
          <w:tcPr>
            <w:tcW w:w="5670" w:type="dxa"/>
            <w:vAlign w:val="center"/>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每周汇报设备检查情况，存在设备无法正常使用的，应及时报备维修。</w:t>
            </w:r>
            <w:r/>
          </w:p>
        </w:tc>
      </w:tr>
      <w:tr>
        <w:trPr>
          <w:cantSplit/>
          <w:trHeight w:val="804"/>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按时维修</w:t>
            </w:r>
            <w:r/>
          </w:p>
          <w:p>
            <w:pPr>
              <w:jc w:val="center"/>
              <w:spacing w:line="360" w:lineRule="exact"/>
              <w:widowControl/>
              <w:rPr>
                <w:rFonts w:hint="eastAsia" w:ascii="宋体" w:hAnsi="宋体" w:cs="宋体"/>
                <w:bCs/>
                <w:szCs w:val="21"/>
              </w:rPr>
            </w:pPr>
            <w:r>
              <w:rPr>
                <w:rFonts w:hint="eastAsia" w:ascii="宋体" w:hAnsi="宋体" w:cs="宋体"/>
                <w:bCs/>
                <w:szCs w:val="21"/>
              </w:rPr>
              <w:t xml:space="preserve">（4分）</w:t>
            </w:r>
            <w:r/>
          </w:p>
        </w:tc>
        <w:tc>
          <w:tcPr>
            <w:tcW w:w="5670" w:type="dxa"/>
            <w:vAlign w:val="center"/>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水电工手机应保持24小时开机。急修30分钟到达现场处理，4小时内修复；小修2日内修复。灯具、马桶、水龙头等报修后及时维修到位。</w:t>
            </w:r>
            <w:r/>
          </w:p>
        </w:tc>
      </w:tr>
      <w:tr>
        <w:trPr>
          <w:cantSplit/>
        </w:trPr>
        <w:tc>
          <w:tcPr>
            <w:tcW w:w="1413" w:type="dxa"/>
            <w:vAlign w:val="center"/>
            <w:vMerge w:val="continue"/>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r>
            <w:r/>
          </w:p>
        </w:tc>
        <w:tc>
          <w:tcPr>
            <w:tcW w:w="1701" w:type="dxa"/>
            <w:vAlign w:val="center"/>
            <w:textDirection w:val="lrTb"/>
            <w:noWrap w:val="false"/>
          </w:tcPr>
          <w:p>
            <w:pPr>
              <w:jc w:val="center"/>
              <w:spacing w:line="360" w:lineRule="exact"/>
              <w:widowControl/>
              <w:rPr>
                <w:rFonts w:hint="eastAsia" w:ascii="宋体" w:hAnsi="宋体" w:cs="宋体"/>
                <w:bCs/>
                <w:szCs w:val="21"/>
              </w:rPr>
            </w:pPr>
            <w:r>
              <w:rPr>
                <w:rFonts w:hint="eastAsia" w:ascii="宋体" w:hAnsi="宋体" w:cs="宋体"/>
                <w:bCs/>
                <w:szCs w:val="21"/>
              </w:rPr>
              <w:t xml:space="preserve">设备事件紧急处理（5分）</w:t>
            </w:r>
            <w:r/>
          </w:p>
        </w:tc>
        <w:tc>
          <w:tcPr>
            <w:tcW w:w="5670" w:type="dxa"/>
            <w:vAlign w:val="center"/>
            <w:textDirection w:val="lrTb"/>
            <w:noWrap w:val="false"/>
          </w:tcPr>
          <w:p>
            <w:pPr>
              <w:jc w:val="left"/>
              <w:spacing w:line="360" w:lineRule="exact"/>
              <w:widowControl/>
              <w:rPr>
                <w:rFonts w:hint="eastAsia" w:ascii="宋体" w:hAnsi="宋体" w:cs="宋体"/>
                <w:bCs/>
                <w:szCs w:val="21"/>
              </w:rPr>
            </w:pPr>
            <w:r>
              <w:rPr>
                <w:rFonts w:hint="eastAsia" w:ascii="宋体" w:hAnsi="宋体" w:cs="宋体"/>
                <w:bCs/>
                <w:szCs w:val="21"/>
              </w:rPr>
              <w:t xml:space="preserve">突发事件跑水、跳电等处理是否及时到位，处理不到位的，一次扣0.5分。</w:t>
            </w:r>
            <w:r/>
          </w:p>
        </w:tc>
      </w:tr>
    </w:tbl>
    <w:p>
      <w:pPr>
        <w:pStyle w:val="1264"/>
        <w:ind w:firstLine="0"/>
        <w:rPr>
          <w:rFonts w:hint="eastAsia"/>
        </w:rPr>
      </w:pPr>
      <w:r>
        <w:rPr>
          <w:rFonts w:hint="eastAsia"/>
        </w:rPr>
      </w:r>
      <w:r/>
    </w:p>
    <w:p>
      <w:pPr>
        <w:keepLines/>
        <w:keepNext/>
        <w:spacing w:line="460" w:lineRule="exact"/>
        <w:rPr>
          <w:rFonts w:ascii="Arial" w:hAnsi="Arial"/>
          <w:b/>
          <w:color w:val="000000"/>
          <w:sz w:val="28"/>
        </w:rPr>
        <w:outlineLvl w:val="1"/>
      </w:pPr>
      <w:r>
        <w:rPr>
          <w:rFonts w:hint="eastAsia" w:ascii="Arial" w:hAnsi="Arial"/>
          <w:b/>
          <w:color w:val="000000"/>
          <w:sz w:val="28"/>
        </w:rPr>
        <w:t xml:space="preserve">九、设备、工具、服装要求</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1、设备及保洁工具全新或八成新以上。</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2、装备清单，包含清洁工具、清洁用品、橡胶棒、通讯器材、水电工用电焊机、电锤、手电钻、管钳、台钳、万用表等水电工维修工具，各种保洁专用警示牌等（</w:t>
      </w:r>
      <w:r>
        <w:rPr>
          <w:rFonts w:hint="eastAsia" w:ascii="宋体" w:hAnsi="宋体" w:cs="方正仿宋_GBK"/>
          <w:szCs w:val="21"/>
        </w:rPr>
        <w:t xml:space="preserve">详见下表</w:t>
      </w:r>
      <w:r>
        <w:rPr>
          <w:rFonts w:hint="eastAsia" w:ascii="宋体" w:hAnsi="宋体" w:cs="方正仿宋_GBK"/>
          <w:szCs w:val="21"/>
          <w:lang w:val="zh-CN"/>
        </w:rPr>
        <w:t xml:space="preserve">）。</w:t>
      </w:r>
      <w:r/>
    </w:p>
    <w:tbl>
      <w:tblPr>
        <w:tblStyle w:val="809"/>
        <w:tblW w:w="1144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658"/>
        <w:gridCol w:w="2752"/>
        <w:gridCol w:w="3197"/>
        <w:gridCol w:w="2057"/>
      </w:tblGrid>
      <w:tr>
        <w:trPr>
          <w:gridAfter w:val="1"/>
          <w:trHeight w:val="522"/>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序号</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物资名称</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规格型号</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数量</w:t>
            </w:r>
            <w:r/>
          </w:p>
        </w:tc>
      </w:tr>
      <w:tr>
        <w:trPr>
          <w:gridAfter w:val="1"/>
          <w:trHeight w:val="9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软马桶刷</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手持/塑料</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厕刷</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手持/塑料</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钢丝球</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不锈钢</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100个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抹布</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30*70、30*30等/纤维抹布</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50块</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无味除胶剂</w:t>
            </w:r>
            <w:r/>
          </w:p>
        </w:tc>
        <w:tc>
          <w:tcPr>
            <w:tcW w:w="2752" w:type="dxa"/>
            <w:vAlign w:val="center"/>
            <w:textDirection w:val="lrTb"/>
            <w:noWrap w:val="false"/>
          </w:tcPr>
          <w:p>
            <w:pPr>
              <w:jc w:val="center"/>
              <w:spacing w:line="360" w:lineRule="exact"/>
              <w:tabs>
                <w:tab w:val="left" w:pos="257" w:leader="none"/>
              </w:tabs>
              <w:rPr>
                <w:rFonts w:hint="eastAsia" w:ascii="宋体" w:hAnsi="宋体" w:cs="宋体"/>
                <w:szCs w:val="21"/>
              </w:rPr>
            </w:pPr>
            <w:r>
              <w:rPr>
                <w:rFonts w:hint="eastAsia" w:ascii="宋体" w:hAnsi="宋体" w:cs="宋体"/>
                <w:szCs w:val="21"/>
              </w:rPr>
              <w:t xml:space="preserve">450ML</w:t>
            </w:r>
            <w:r/>
          </w:p>
        </w:tc>
        <w:tc>
          <w:tcPr>
            <w:tcW w:w="3197" w:type="dxa"/>
            <w:vAlign w:val="center"/>
            <w:textDirection w:val="lrTb"/>
            <w:noWrap w:val="false"/>
          </w:tcPr>
          <w:p>
            <w:pPr>
              <w:jc w:val="center"/>
              <w:spacing w:line="360" w:lineRule="exact"/>
              <w:tabs>
                <w:tab w:val="left" w:pos="440" w:leader="none"/>
              </w:tabs>
              <w:rPr>
                <w:rFonts w:hint="eastAsia" w:ascii="宋体" w:hAnsi="宋体" w:cs="宋体"/>
                <w:szCs w:val="21"/>
              </w:rPr>
            </w:pPr>
            <w:r>
              <w:rPr>
                <w:rFonts w:hint="eastAsia" w:ascii="宋体" w:hAnsi="宋体" w:cs="宋体"/>
                <w:szCs w:val="21"/>
              </w:rPr>
              <w:t xml:space="preserve">14瓶</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芳香球</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5粒/包</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100包</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7</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小号垃圾袋</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黑色/塑料/50*60</w:t>
            </w:r>
            <w:r/>
          </w:p>
          <w:p>
            <w:pPr>
              <w:jc w:val="center"/>
              <w:spacing w:line="360" w:lineRule="exact"/>
              <w:rPr>
                <w:rFonts w:hint="eastAsia" w:ascii="宋体" w:hAnsi="宋体" w:cs="宋体"/>
                <w:szCs w:val="21"/>
              </w:rPr>
            </w:pPr>
            <w:r>
              <w:rPr>
                <w:rFonts w:hint="eastAsia" w:ascii="宋体" w:hAnsi="宋体" w:cs="宋体"/>
                <w:szCs w:val="21"/>
              </w:rPr>
              <w:t xml:space="preserve">每箱1000只</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10箱</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大号垃圾袋</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黑色/塑料/120*140</w:t>
            </w:r>
            <w:r/>
          </w:p>
          <w:p>
            <w:pPr>
              <w:jc w:val="center"/>
              <w:spacing w:line="360" w:lineRule="exact"/>
              <w:rPr>
                <w:rFonts w:hint="eastAsia" w:ascii="宋体" w:hAnsi="宋体" w:cs="宋体"/>
                <w:szCs w:val="21"/>
              </w:rPr>
            </w:pPr>
            <w:r>
              <w:rPr>
                <w:rFonts w:hint="eastAsia" w:ascii="宋体" w:hAnsi="宋体" w:cs="宋体"/>
                <w:szCs w:val="21"/>
              </w:rPr>
              <w:t xml:space="preserve">每件1000只</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10件</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洁厕剂</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液体/3.8升</w:t>
            </w:r>
            <w:r/>
          </w:p>
          <w:p>
            <w:pPr>
              <w:jc w:val="center"/>
              <w:spacing w:line="360" w:lineRule="exact"/>
              <w:rPr>
                <w:rFonts w:hint="eastAsia" w:ascii="宋体" w:hAnsi="宋体" w:cs="宋体"/>
                <w:szCs w:val="21"/>
              </w:rPr>
            </w:pPr>
            <w:r>
              <w:rPr>
                <w:rFonts w:hint="eastAsia" w:ascii="宋体" w:hAnsi="宋体" w:cs="宋体"/>
                <w:szCs w:val="21"/>
              </w:rPr>
              <w:t xml:space="preserve">每箱</w:t>
            </w:r>
            <w:r>
              <w:rPr>
                <w:rFonts w:hint="eastAsia" w:ascii="宋体" w:hAnsi="宋体" w:cs="宋体"/>
                <w:szCs w:val="21"/>
                <w:u w:val="single"/>
              </w:rPr>
              <w:t xml:space="preserve">4</w:t>
            </w:r>
            <w:r>
              <w:rPr>
                <w:rFonts w:hint="eastAsia" w:ascii="宋体" w:hAnsi="宋体" w:cs="宋体"/>
                <w:szCs w:val="21"/>
              </w:rPr>
              <w:t xml:space="preserve">瓶</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10箱</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胶棉拖把</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20把</w:t>
            </w:r>
            <w:r/>
          </w:p>
        </w:tc>
      </w:tr>
      <w:tr>
        <w:trPr>
          <w:gridAfter w:val="1"/>
          <w:trHeight w:val="423"/>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线拖把</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清洁地板、楼梯</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20把</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中号尘推</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90CM</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小号尘推</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60CM</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橡胶手套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黄色/乳胶/副</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50副</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笤帚套装</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塑料及毛制品</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10套</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16</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大扫帚</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竹制品</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10把</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17</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榨水车</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甩拖把用</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18</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全无敌</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600M/瓶</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10瓶</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19</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皮手套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10包</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20</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线手套</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10包</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21</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洗衣粉</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3千克／袋</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10袋</w:t>
            </w:r>
            <w:r/>
          </w:p>
        </w:tc>
      </w:tr>
      <w:tr>
        <w:trPr>
          <w:gridAfter w:val="1"/>
          <w:trHeight w:val="424"/>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22</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除四害药</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color w:val="ff0000"/>
                <w:szCs w:val="21"/>
              </w:rPr>
            </w:pPr>
            <w:r>
              <w:rPr>
                <w:rFonts w:hint="eastAsia" w:ascii="宋体" w:hAnsi="宋体" w:cs="宋体"/>
                <w:szCs w:val="21"/>
              </w:rPr>
              <w:t xml:space="preserve">10瓶</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23</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保洁专用警示牌</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24</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鸡毛掸</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5个</w:t>
            </w:r>
            <w:r/>
          </w:p>
        </w:tc>
      </w:tr>
      <w:tr>
        <w:trPr>
          <w:gridAfter w:val="1"/>
          <w:trHeight w:val="340"/>
        </w:trPr>
        <w:tc>
          <w:tcPr>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25</w:t>
            </w:r>
            <w:r/>
          </w:p>
        </w:tc>
        <w:tc>
          <w:tcPr>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84消毒液</w:t>
            </w:r>
            <w:r/>
          </w:p>
        </w:tc>
        <w:tc>
          <w:tcPr>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2箱</w:t>
            </w:r>
            <w:r/>
          </w:p>
        </w:tc>
      </w:tr>
      <w:tr>
        <w:trPr>
          <w:gridAfter w:val="1"/>
          <w:trHeight w:val="535"/>
        </w:trPr>
        <w:tc>
          <w:tcPr>
            <w:tcBorders>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26</w:t>
            </w:r>
            <w:r/>
          </w:p>
        </w:tc>
        <w:tc>
          <w:tcPr>
            <w:tcBorders>
              <w:bottom w:val="single" w:color="auto" w:sz="4" w:space="0"/>
            </w:tcBorders>
            <w:tcW w:w="2658" w:type="dxa"/>
            <w:vAlign w:val="center"/>
            <w:textDirection w:val="lrTb"/>
            <w:noWrap w:val="false"/>
          </w:tcPr>
          <w:p>
            <w:pPr>
              <w:jc w:val="left"/>
              <w:spacing w:line="360" w:lineRule="exact"/>
              <w:rPr>
                <w:rFonts w:hint="eastAsia" w:ascii="宋体" w:hAnsi="宋体" w:cs="宋体"/>
                <w:szCs w:val="21"/>
              </w:rPr>
            </w:pPr>
            <w:r>
              <w:rPr>
                <w:rFonts w:hint="eastAsia" w:ascii="宋体" w:hAnsi="宋体" w:cs="宋体"/>
                <w:szCs w:val="21"/>
              </w:rPr>
              <w:t xml:space="preserve">钢盔、背心、盾牌、钢叉、背心、手套、橡胶棒、抓捕器等</w:t>
            </w:r>
            <w:r/>
          </w:p>
        </w:tc>
        <w:tc>
          <w:tcPr>
            <w:tcBorders>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防爆器材2件套</w:t>
            </w:r>
            <w:r/>
          </w:p>
        </w:tc>
        <w:tc>
          <w:tcPr>
            <w:tcBorders>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2套</w:t>
            </w:r>
            <w:r/>
          </w:p>
        </w:tc>
      </w:tr>
      <w:tr>
        <w:trPr>
          <w:gridAfter w:val="1"/>
          <w:trHeight w:val="230"/>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27</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梯子</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3米、2.5米、2米</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各1部</w:t>
            </w:r>
            <w:r/>
          </w:p>
        </w:tc>
      </w:tr>
      <w:tr>
        <w:trPr>
          <w:gridAfter w:val="1"/>
          <w:trHeight w:val="181"/>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28</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方正仿宋_GBK"/>
                <w:szCs w:val="21"/>
                <w:lang w:val="zh-CN"/>
              </w:rPr>
              <w:t xml:space="preserve">电锤</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211"/>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29</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锂电手电钻</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216"/>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30</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切割机</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171"/>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31</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角磨机</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214"/>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32</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电焊机</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169"/>
        </w:trPr>
        <w:tc>
          <w:tcPr>
            <w:tcBorders>
              <w:top w:val="single" w:color="auto" w:sz="4" w:space="0"/>
              <w:left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33</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管钳</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201"/>
        </w:trPr>
        <w:tc>
          <w:tcPr>
            <w:tcBorders>
              <w:top w:val="single" w:color="auto" w:sz="4" w:space="0"/>
              <w:left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34</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台钳</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199"/>
        </w:trPr>
        <w:tc>
          <w:tcPr>
            <w:tcBorders>
              <w:top w:val="single" w:color="auto" w:sz="4" w:space="0"/>
              <w:left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35</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万用表</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1台</w:t>
            </w:r>
            <w:r/>
          </w:p>
        </w:tc>
      </w:tr>
      <w:tr>
        <w:trPr>
          <w:gridAfter w:val="1"/>
          <w:trHeight w:val="171"/>
        </w:trPr>
        <w:tc>
          <w:tcPr>
            <w:tcBorders>
              <w:top w:val="single" w:color="auto" w:sz="4" w:space="0"/>
              <w:left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36</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水电套装工具</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2批</w:t>
            </w:r>
            <w:r/>
          </w:p>
        </w:tc>
      </w:tr>
      <w:tr>
        <w:trPr>
          <w:gridAfter w:val="1"/>
          <w:trHeight w:val="164"/>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37</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水电胶布</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生料带、绝缘胶带等</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100包</w:t>
            </w:r>
            <w:r/>
          </w:p>
        </w:tc>
      </w:tr>
      <w:tr>
        <w:trPr>
          <w:gridAfter w:val="1"/>
          <w:trHeight w:val="209"/>
        </w:trPr>
        <w:tc>
          <w:tcPr>
            <w:tcBorders>
              <w:top w:val="single" w:color="auto" w:sz="4" w:space="0"/>
              <w:bottom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38</w:t>
            </w:r>
            <w:r/>
          </w:p>
        </w:tc>
        <w:tc>
          <w:tcPr>
            <w:tcBorders>
              <w:top w:val="single" w:color="auto" w:sz="4" w:space="0"/>
              <w:bottom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玻璃胶、大理石胶</w:t>
            </w:r>
            <w:r/>
          </w:p>
        </w:tc>
        <w:tc>
          <w:tcPr>
            <w:tcBorders>
              <w:top w:val="single" w:color="auto" w:sz="4" w:space="0"/>
              <w:bottom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玻璃胶、大理石胶</w:t>
            </w:r>
            <w:r/>
          </w:p>
        </w:tc>
        <w:tc>
          <w:tcPr>
            <w:tcBorders>
              <w:top w:val="single" w:color="auto" w:sz="4" w:space="0"/>
              <w:bottom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各20管</w:t>
            </w:r>
            <w:r/>
          </w:p>
        </w:tc>
      </w:tr>
      <w:tr>
        <w:trPr>
          <w:trHeight w:val="405"/>
        </w:trPr>
        <w:tc>
          <w:tcPr>
            <w:tcBorders>
              <w:top w:val="single" w:color="auto" w:sz="4" w:space="0"/>
              <w:left w:val="single" w:color="auto" w:sz="4" w:space="0"/>
            </w:tcBorders>
            <w:tcW w:w="776"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39</w:t>
            </w:r>
            <w:r/>
          </w:p>
        </w:tc>
        <w:tc>
          <w:tcPr>
            <w:tcBorders>
              <w:top w:val="single" w:color="auto" w:sz="4" w:space="0"/>
            </w:tcBorders>
            <w:tcW w:w="2658"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如投标人认为需增加其他耗材可以自行添加</w:t>
            </w:r>
            <w:r/>
          </w:p>
        </w:tc>
        <w:tc>
          <w:tcPr>
            <w:tcBorders>
              <w:top w:val="single" w:color="auto" w:sz="4" w:space="0"/>
            </w:tcBorders>
            <w:tcW w:w="2752"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w:t>
            </w:r>
            <w:r/>
          </w:p>
        </w:tc>
        <w:tc>
          <w:tcPr>
            <w:tcBorders>
              <w:top w:val="single" w:color="auto" w:sz="4" w:space="0"/>
            </w:tcBorders>
            <w:tcW w:w="3197"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Borders>
              <w:top w:val="single" w:color="auto" w:sz="4" w:space="0"/>
            </w:tcBorders>
            <w:tcW w:w="2057"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r>
    </w:tbl>
    <w:p>
      <w:pPr>
        <w:ind w:firstLine="420"/>
        <w:spacing w:line="480" w:lineRule="exact"/>
        <w:rPr>
          <w:rFonts w:hint="eastAsia" w:ascii="宋体" w:hAnsi="宋体" w:cs="方正仿宋_GBK"/>
          <w:szCs w:val="21"/>
          <w:lang w:val="zh-CN"/>
        </w:rPr>
      </w:pPr>
      <w:r>
        <w:rPr>
          <w:rFonts w:hint="eastAsia" w:ascii="宋体" w:hAnsi="宋体" w:cs="方正仿宋_GBK"/>
          <w:szCs w:val="21"/>
          <w:lang w:val="zh-CN"/>
        </w:rPr>
        <w:t xml:space="preserve">注：合同履行过程中如有缺、漏，供应商须补充相应物资，相关费用均包含在本次投标报价中（附耗材清单报价表）。</w:t>
      </w:r>
      <w:r/>
    </w:p>
    <w:p>
      <w:pPr>
        <w:ind w:firstLine="420"/>
        <w:spacing w:line="480" w:lineRule="exact"/>
        <w:rPr>
          <w:rFonts w:hint="eastAsia" w:ascii="宋体" w:hAnsi="宋体" w:cs="方正仿宋_GBK"/>
          <w:szCs w:val="21"/>
          <w:lang w:val="zh-CN"/>
        </w:rPr>
      </w:pPr>
      <w:r>
        <w:rPr>
          <w:rFonts w:hint="eastAsia" w:ascii="宋体" w:hAnsi="宋体" w:cs="方正仿宋_GBK"/>
          <w:szCs w:val="21"/>
          <w:lang w:val="zh-CN"/>
        </w:rPr>
        <w:t xml:space="preserve">3、中标</w:t>
      </w:r>
      <w:r>
        <w:rPr>
          <w:rFonts w:hint="eastAsia" w:ascii="宋体" w:hAnsi="宋体" w:cs="方正仿宋_GBK"/>
          <w:szCs w:val="21"/>
        </w:rPr>
        <w:t xml:space="preserve">供应商</w:t>
      </w:r>
      <w:r>
        <w:rPr>
          <w:rFonts w:hint="eastAsia" w:ascii="宋体" w:hAnsi="宋体" w:cs="方正仿宋_GBK"/>
          <w:szCs w:val="21"/>
          <w:lang w:val="zh-CN"/>
        </w:rPr>
        <w:t xml:space="preserve">进驻前一天，必须将以上设备进入到办公区，缺一不可。否则采购人将拒绝中标人进场，所产生的责任由</w:t>
      </w:r>
      <w:r>
        <w:rPr>
          <w:rFonts w:hint="eastAsia" w:ascii="宋体" w:hAnsi="宋体" w:cs="方正仿宋_GBK"/>
          <w:szCs w:val="21"/>
        </w:rPr>
        <w:t xml:space="preserve">中标供应商</w:t>
      </w:r>
      <w:r>
        <w:rPr>
          <w:rFonts w:hint="eastAsia" w:ascii="宋体" w:hAnsi="宋体" w:cs="方正仿宋_GBK"/>
          <w:szCs w:val="21"/>
          <w:lang w:val="zh-CN"/>
        </w:rPr>
        <w:t xml:space="preserve">承担。合同生效后3个工作日内因中标</w:t>
      </w:r>
      <w:r>
        <w:rPr>
          <w:rFonts w:hint="eastAsia" w:ascii="宋体" w:hAnsi="宋体" w:cs="方正仿宋_GBK"/>
          <w:szCs w:val="21"/>
        </w:rPr>
        <w:t xml:space="preserve">供应商</w:t>
      </w:r>
      <w:r>
        <w:rPr>
          <w:rFonts w:hint="eastAsia" w:ascii="宋体" w:hAnsi="宋体" w:cs="方正仿宋_GBK"/>
          <w:szCs w:val="21"/>
          <w:lang w:val="zh-CN"/>
        </w:rPr>
        <w:t xml:space="preserve">未将上述设备完全提供导致延误的，采购人将报政府采购管理部门进行处理并追究其违约责任。</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4、人员服装要求</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（2）人员服装应全新，质量上乘，为纯棉制品，穿着舒适，经久耐穿，具备本单位特色，且能够展示本单位和采购人单位场所风采。投标文件中按岗位不同分别提供服装样式图片。</w:t>
      </w:r>
      <w:r/>
    </w:p>
    <w:p>
      <w:pPr>
        <w:ind w:firstLine="560"/>
        <w:spacing w:line="480" w:lineRule="exact"/>
        <w:rPr>
          <w:rFonts w:hint="eastAsia" w:ascii="宋体" w:hAnsi="宋体" w:cs="方正仿宋_GBK"/>
          <w:szCs w:val="21"/>
          <w:lang w:val="zh-CN"/>
        </w:rPr>
      </w:pPr>
      <w:r>
        <w:rPr>
          <w:rFonts w:hint="eastAsia" w:ascii="宋体" w:hAnsi="宋体" w:cs="方正仿宋_GBK"/>
          <w:szCs w:val="21"/>
          <w:lang w:val="zh-CN"/>
        </w:rPr>
        <w:t xml:space="preserve">（3）服装数量要求：项目组成员每人每季节2套服装（包括上衣和裤子），其中春夏季为短袖样式，秋冬季为长袖样式。服装由中标人在采购人指定时间前备案并发放至员工。</w:t>
      </w:r>
      <w:r/>
    </w:p>
    <w:p>
      <w:pPr>
        <w:keepLines/>
        <w:keepNext/>
        <w:spacing w:line="500" w:lineRule="exact"/>
        <w:rPr>
          <w:rFonts w:ascii="Arial" w:hAnsi="Arial"/>
          <w:b/>
          <w:color w:val="000000"/>
          <w:sz w:val="28"/>
        </w:rPr>
        <w:outlineLvl w:val="1"/>
      </w:pPr>
      <w:r>
        <w:rPr>
          <w:rFonts w:hint="eastAsia" w:ascii="Arial" w:hAnsi="Arial"/>
          <w:b/>
          <w:color w:val="000000"/>
          <w:sz w:val="28"/>
        </w:rPr>
        <w:t xml:space="preserve">十一、重大活动保障及应急预案</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（1）制订流程。配合采购人制订重大活动后勤保障工作流程，需对任务进行详细了解，并根据工作安排制定详细的后勤保障计划。</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（3）收尾工作。对现场进行检查，做好清理工作。</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5）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keepLines/>
        <w:keepNext/>
        <w:spacing w:line="500" w:lineRule="exact"/>
        <w:rPr>
          <w:rFonts w:ascii="Arial" w:hAnsi="Arial"/>
          <w:b/>
          <w:color w:val="000000"/>
          <w:sz w:val="28"/>
        </w:rPr>
        <w:outlineLvl w:val="1"/>
      </w:pPr>
      <w:r>
        <w:rPr>
          <w:rFonts w:hint="eastAsia" w:ascii="Arial" w:hAnsi="Arial"/>
          <w:b/>
          <w:color w:val="000000"/>
          <w:sz w:val="28"/>
        </w:rPr>
        <w:t xml:space="preserve">十二、进退场交接方案及要求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（一）进场交接要求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 交接准备</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进场前勘查：新物业服务企业在进场前对办公楼进行全面勘查，了解设施设备、环境、安全等情况。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人员培训：新物业服务企业应对员工进行岗前培训，确保熟悉办公楼的管理制度和服务标准。</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2.交接内容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资料交接：包括但不限于建筑图纸、设备档案、合同、业主信息、历史维修记录等。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设施设备交接：对办公楼内的电梯、空调、消防、安防等设备进行清点，确保设备完好并处于正常运行状态。</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物资交接：包括办公用品、清洁工具等，确保数量和质量符合要求。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3.交接程序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交接会议：双方应召开交接会议，明确交接内容、时间、责任等事项。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现场交接：双方应共同对办公楼进行现场检查，确认设施设备、物资等的状况。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签字确认：交接完成后，双方应签署交接文件，确认交接内容。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（二）退场交接要求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1.退场准备</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资料整理：退场物业服务企业应整理好所有相关资料，包括设备档案、维修记录、合同等。</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设施设备检查：退场前应对办公楼内的设施设备进行全面检查，确保设备正常运行。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物资清点：退场前应对所有物资进行清点，确保无遗失或损坏。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2.退场内容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资料移交：退场物业服务企业应将所有相关资料移交给新物业服务企业或业主方。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设施设备移交：退场物业服务企业应确保所有设施设备处于正常运行状态，并移交给新物业服务企业或业主方。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物资移交：退场物业服务企业应将所有物资移交给新物业服务企业或业主方，确保数量和质量符合要求。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3.退场程序</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退场会议：双方应召开退场会议，明确退场内容、时间、责任等事项。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现场检查：双方应共同对办公楼进行现场检查，确认设施设备、物资等的状况。</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签字确认：退场完成后，双方应签署退场文件，确认退场内容。</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（三）其他要求</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1.交接时间：进退场交接应在合同规定的期限内完成，确保不影响办公楼的正常使用。</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2.交接责任：双方应明确交接过程中的责任，确保交接顺利进行。</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3.交接记录：交接过程应详细记录，双方签字确认，作为后续管理的依据。</w:t>
      </w:r>
      <w:r/>
    </w:p>
    <w:p>
      <w:pPr>
        <w:ind w:firstLine="420"/>
        <w:spacing w:line="500" w:lineRule="exact"/>
        <w:rPr>
          <w:rFonts w:hint="eastAsia" w:ascii="宋体" w:hAnsi="宋体" w:cs="方正仿宋_GBK"/>
          <w:szCs w:val="21"/>
          <w:lang w:val="zh-CN"/>
        </w:rPr>
      </w:pPr>
      <w:r>
        <w:rPr>
          <w:rFonts w:hint="eastAsia" w:ascii="宋体" w:hAnsi="宋体" w:cs="方正仿宋_GBK"/>
          <w:szCs w:val="21"/>
          <w:lang w:val="zh-CN"/>
        </w:rPr>
        <w:t xml:space="preserve">通过以上要求，确保行政办公楼物业服务采购项目的进退场交接顺利进行，保障物业服务的连续性和质量。</w:t>
      </w:r>
      <w:r/>
    </w:p>
    <w:p>
      <w:pPr>
        <w:jc w:val="center"/>
        <w:keepLines/>
        <w:keepNext/>
        <w:pageBreakBefore/>
        <w:rPr>
          <w:b/>
          <w:sz w:val="44"/>
          <w:szCs w:val="44"/>
        </w:rPr>
        <w:outlineLvl w:val="0"/>
      </w:pPr>
      <w:r/>
      <w:bookmarkStart w:id="135" w:name="_Toc81575169"/>
      <w:r/>
      <w:bookmarkStart w:id="136" w:name="_Toc7023"/>
      <w:r/>
      <w:bookmarkStart w:id="137" w:name="_Toc81575206"/>
      <w:r/>
      <w:bookmarkStart w:id="138" w:name="_Toc31499"/>
      <w:r/>
      <w:bookmarkStart w:id="139" w:name="_Toc22098"/>
      <w:r>
        <w:rPr>
          <w:rFonts w:hint="eastAsia"/>
          <w:b/>
          <w:sz w:val="44"/>
          <w:szCs w:val="44"/>
        </w:rPr>
        <w:t xml:space="preserve">第五章  合同文本</w:t>
      </w:r>
      <w:bookmarkEnd w:id="135"/>
      <w:r/>
      <w:bookmarkEnd w:id="136"/>
      <w:r/>
      <w:bookmarkEnd w:id="137"/>
      <w:r/>
      <w:bookmarkEnd w:id="138"/>
      <w:r/>
      <w:bookmarkEnd w:id="139"/>
      <w:r/>
      <w:bookmarkStart w:id="140" w:name="_Toc16938559"/>
      <w:r/>
      <w:bookmarkStart w:id="141" w:name="_Toc20823315"/>
      <w:r/>
      <w:bookmarkStart w:id="142" w:name="_Toc513029243"/>
      <w:r/>
      <w:r/>
    </w:p>
    <w:p>
      <w:pPr>
        <w:spacing w:line="400" w:lineRule="exact"/>
        <w:rPr>
          <w:rFonts w:hint="eastAsia" w:ascii="宋体" w:hAnsi="宋体"/>
          <w:bCs/>
          <w:sz w:val="24"/>
          <w:szCs w:val="24"/>
        </w:rPr>
      </w:pPr>
      <w:r>
        <w:rPr>
          <w:rFonts w:hint="eastAsia" w:ascii="宋体" w:hAnsi="宋体"/>
          <w:bCs/>
          <w:sz w:val="24"/>
          <w:szCs w:val="24"/>
        </w:rPr>
      </w:r>
      <w:bookmarkEnd w:id="140"/>
      <w:r/>
      <w:bookmarkEnd w:id="141"/>
      <w:r/>
      <w:bookmarkEnd w:id="142"/>
      <w:r/>
      <w:r/>
    </w:p>
    <w:p>
      <w:pPr>
        <w:pStyle w:val="1184"/>
        <w:jc w:val="center"/>
        <w:spacing w:line="259" w:lineRule="auto"/>
        <w:rPr>
          <w:rFonts w:hint="eastAsia" w:ascii="仿宋" w:hAnsi="仿宋" w:eastAsia="仿宋" w:cs="仿宋"/>
          <w:b/>
          <w:bCs/>
          <w:spacing w:val="5"/>
          <w:sz w:val="43"/>
          <w:szCs w:val="43"/>
        </w:rPr>
      </w:pPr>
      <w:r/>
      <w:bookmarkStart w:id="143" w:name="_Toc19649"/>
      <w:r/>
      <w:bookmarkStart w:id="144" w:name="_Toc9003"/>
      <w:r/>
      <w:bookmarkStart w:id="145" w:name="_Toc11391"/>
      <w:r/>
      <w:bookmarkStart w:id="146" w:name="_Toc22853"/>
      <w:r/>
      <w:bookmarkStart w:id="147" w:name="_Toc81575170"/>
      <w:r/>
      <w:bookmarkStart w:id="148" w:name="_Toc81575207"/>
      <w:r>
        <w:rPr>
          <w:rFonts w:hint="eastAsia" w:ascii="仿宋" w:hAnsi="仿宋" w:eastAsia="仿宋" w:cs="仿宋"/>
          <w:b/>
          <w:bCs/>
          <w:spacing w:val="5"/>
          <w:sz w:val="43"/>
          <w:szCs w:val="43"/>
        </w:rPr>
        <w:t xml:space="preserve">物业管理服务合同</w:t>
      </w:r>
      <w:r/>
    </w:p>
    <w:p>
      <w:pPr>
        <w:pStyle w:val="1184"/>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合同编号：</w:t>
      </w:r>
      <w:r/>
    </w:p>
    <w:p>
      <w:pPr>
        <w:ind w:firstLine="480"/>
        <w:spacing w:line="500" w:lineRule="exact"/>
        <w:widowControl/>
        <w:tabs>
          <w:tab w:val="left" w:pos="4004" w:leader="none"/>
        </w:tabs>
        <w:rPr>
          <w:rFonts w:hint="eastAsia" w:ascii="宋体" w:hAnsi="宋体" w:cs="宋体"/>
          <w:bCs/>
          <w:sz w:val="24"/>
          <w:szCs w:val="24"/>
        </w:rPr>
      </w:pPr>
      <w:r>
        <w:rPr>
          <w:rFonts w:hint="eastAsia" w:ascii="宋体" w:hAnsi="宋体" w:cs="宋体"/>
          <w:bCs/>
          <w:sz w:val="24"/>
          <w:szCs w:val="24"/>
        </w:rPr>
        <w:t xml:space="preserve">甲方：（以下简称甲方）</w:t>
      </w:r>
      <w:r/>
    </w:p>
    <w:p>
      <w:pPr>
        <w:ind w:firstLine="480"/>
        <w:spacing w:line="500" w:lineRule="exact"/>
        <w:widowControl/>
        <w:tabs>
          <w:tab w:val="left" w:pos="4004" w:leader="none"/>
        </w:tabs>
        <w:rPr>
          <w:rFonts w:hint="eastAsia" w:ascii="宋体" w:hAnsi="宋体" w:cs="宋体"/>
          <w:bCs/>
          <w:sz w:val="24"/>
          <w:szCs w:val="24"/>
        </w:rPr>
      </w:pPr>
      <w:r>
        <w:rPr>
          <w:rFonts w:hint="eastAsia" w:ascii="宋体" w:hAnsi="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提供物业服务及管理时间自</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日至</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1、下列文件为本合同不可分割部分：</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①中标通知书；</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②乙方的投标文件；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③乙方在投标过程中所作的其它承诺、声明、书面澄清等；</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④采购文件及其附件；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⑤合同附件。</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以上与本合同具有同等法律效力</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3、乙方聘用的人员。</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4、履行方式：乙方按甲方采购要求及合同约定提供服务，服务过程中的各种风险由乙方承担；实施方式由乙方视情况自定，费用自负。</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二、甲、乙双方的责任</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（一）甲方的权利和义务：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2、甲方有权审核乙方的物业服务费用。甲方必须严格按照双方签订的合同约定审核乙方提交的结算单据并支付相关物业服务费用，不得拖欠。</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3、甲方应为乙方清洁施工提供方便。甲方须为乙方提供清洁过程中涉及的正常的供水、供电及照明等条件。保洁的用水、用电费用由甲方承担。但乙方须从节约角度合理地使用水、电，并接受甲方的现场监管。若因供水、供电及不可抗拒的原因造成乙方保洁难以达到质量标准，其责任不由乙方负责。</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4、甲方应为乙方提供机械设备、材料堆放的场地及车辆运输、停放的便利。</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sz w:val="24"/>
          <w:szCs w:val="24"/>
        </w:rPr>
        <w:t xml:space="preserve">甲方逾期支付资金，承担相关违约责任。</w:t>
      </w:r>
      <w:r/>
    </w:p>
    <w:p>
      <w:pPr>
        <w:ind w:firstLine="482"/>
        <w:spacing w:line="500" w:lineRule="exact"/>
        <w:widowControl/>
        <w:rPr>
          <w:rFonts w:hint="eastAsia" w:ascii="宋体" w:hAnsi="宋体" w:cs="宋体"/>
          <w:bCs/>
          <w:sz w:val="24"/>
          <w:szCs w:val="24"/>
        </w:rPr>
      </w:pPr>
      <w:r>
        <w:rPr>
          <w:rFonts w:hint="eastAsia" w:ascii="宋体" w:hAnsi="宋体" w:cs="宋体"/>
          <w:b/>
          <w:sz w:val="24"/>
          <w:szCs w:val="24"/>
        </w:rPr>
        <w:t xml:space="preserve">（二）乙方的权利和义务：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1、在本合同期内，乙方应做好现场员工的管理工作，如发生问题，乙方应当积极妥善解决，由此形成的一切后果均由乙方承担。</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2、乙方保洁人员需完成必要的培训后方可上岗，其培训内容包括但不仅限于下列内容：</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ind w:firstLine="480"/>
        <w:spacing w:line="50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ind w:firstLine="480"/>
        <w:spacing w:line="50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ind w:firstLine="480"/>
        <w:spacing w:line="50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4、如遇紧急事故或突发事件等需要紧急处理，甲方有权调用在场的乙方所有员工进行突击抢险和处理紧急任务。</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5、乙方应随时配合甲方每日对保洁工作进行检查，乙方将定期清洁作业计划情况书面告知甲方，每月将清洁及安保作业计划实施情况以书面形式报告。</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6、乙方应保持派驻本项目的人员，如有变动，应提前及时书面告知甲方，并将变动情况报甲方备档。</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8、在服务过程中乙方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ind w:firstLine="480"/>
        <w:spacing w:line="500" w:lineRule="exact"/>
        <w:widowControl/>
        <w:rPr>
          <w:rFonts w:hint="eastAsia" w:ascii="宋体" w:hAnsi="宋体" w:cs="宋体"/>
          <w:sz w:val="24"/>
          <w:szCs w:val="24"/>
        </w:rPr>
      </w:pPr>
      <w:r>
        <w:rPr>
          <w:rFonts w:hint="eastAsia" w:ascii="宋体" w:hAnsi="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ind w:firstLine="482"/>
        <w:spacing w:line="500" w:lineRule="exact"/>
        <w:rPr>
          <w:rFonts w:hint="eastAsia" w:ascii="宋体" w:hAnsi="宋体" w:cs="宋体"/>
          <w:b/>
          <w:bCs/>
          <w:sz w:val="24"/>
          <w:szCs w:val="32"/>
        </w:rPr>
      </w:pPr>
      <w:r>
        <w:rPr>
          <w:rFonts w:hint="eastAsia" w:ascii="宋体" w:hAnsi="宋体" w:cs="宋体"/>
          <w:b/>
          <w:bCs/>
          <w:sz w:val="24"/>
          <w:szCs w:val="32"/>
        </w:rPr>
        <w:t xml:space="preserve">三、合同价款</w:t>
      </w:r>
      <w:r/>
    </w:p>
    <w:p>
      <w:pPr>
        <w:ind w:firstLine="480"/>
        <w:spacing w:line="500" w:lineRule="exact"/>
        <w:rPr>
          <w:rFonts w:hint="eastAsia" w:ascii="宋体" w:hAnsi="宋体" w:cs="宋体"/>
          <w:sz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00" w:lineRule="exact"/>
        <w:rPr>
          <w:rFonts w:hint="eastAsia" w:ascii="宋体" w:hAnsi="宋体" w:cs="宋体"/>
          <w:sz w:val="24"/>
          <w:szCs w:val="32"/>
          <w:lang w:eastAsia="en-US"/>
        </w:rPr>
      </w:pPr>
      <w:r>
        <w:rPr>
          <w:rFonts w:hint="eastAsia" w:ascii="宋体" w:hAnsi="宋体" w:cs="宋体"/>
          <w:sz w:val="24"/>
          <w:szCs w:val="32"/>
          <w:lang w:eastAsia="en-US"/>
        </w:rPr>
        <w:t xml:space="preserve">1、人员配置及费用</w:t>
      </w:r>
      <w:r/>
    </w:p>
    <w:tbl>
      <w:tblPr>
        <w:tblStyle w:val="809"/>
        <w:tblpPr w:horzAnchor="page" w:tblpX="1809" w:vertAnchor="text" w:tblpY="494" w:leftFromText="180" w:topFromText="0" w:rightFromText="180" w:bottomFromText="0"/>
        <w:tblW w:w="88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2325"/>
        <w:gridCol w:w="919"/>
        <w:gridCol w:w="1397"/>
        <w:gridCol w:w="815"/>
        <w:gridCol w:w="846"/>
        <w:gridCol w:w="1904"/>
      </w:tblGrid>
      <w:tr>
        <w:trPr>
          <w:trHeight w:val="488"/>
        </w:trPr>
        <w:tc>
          <w:tcPr>
            <w:shd w:val="clear" w:color="auto" w:fill="ffffff"/>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Borders>
              <w:top w:val="single" w:color="000000" w:sz="4" w:space="0"/>
              <w:left w:val="single" w:color="000000" w:sz="4" w:space="0"/>
              <w:bottom w:val="single" w:color="000000" w:sz="4" w:space="0"/>
              <w:right w:val="single" w:color="000000" w:sz="4" w:space="0"/>
            </w:tcBorders>
            <w:tcW w:w="643"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2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919"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397"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15"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6"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904"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ind w:firstLine="480"/>
        <w:spacing w:line="500" w:lineRule="exact"/>
        <w:rPr>
          <w:rFonts w:hint="eastAsia" w:ascii="宋体" w:hAnsi="宋体" w:cs="宋体"/>
          <w:sz w:val="24"/>
          <w:szCs w:val="32"/>
        </w:rPr>
      </w:pPr>
      <w:r>
        <w:rPr>
          <w:rFonts w:hint="eastAsia" w:ascii="宋体" w:hAnsi="宋体" w:cs="宋体"/>
          <w:sz w:val="24"/>
          <w:szCs w:val="32"/>
        </w:rPr>
        <w:t xml:space="preserve">2、付款方式及相关要求</w:t>
      </w:r>
      <w:r/>
    </w:p>
    <w:p>
      <w:pPr>
        <w:ind w:firstLine="480"/>
        <w:spacing w:line="500" w:lineRule="exact"/>
        <w:rPr>
          <w:rFonts w:hint="eastAsia" w:ascii="宋体" w:hAnsi="宋体" w:cs="宋体"/>
          <w:sz w:val="24"/>
          <w:szCs w:val="32"/>
        </w:rPr>
      </w:pPr>
      <w:r>
        <w:rPr>
          <w:rFonts w:hint="eastAsia" w:ascii="宋体" w:hAnsi="宋体" w:cs="宋体"/>
          <w:sz w:val="24"/>
          <w:szCs w:val="32"/>
        </w:rPr>
        <w:t xml:space="preserve">签订合同且收到供应商发票后10个工作日内，支付10%的合同款作为预付款；剩余服务费用由采购人按月支付。中标人每月根据实际发生的所有物业服务（考核后的）费用开具合法票据，采购人在接到中标人票据10个工作日内将上个月实际发生的所有物业服务（考核后的）费用支付给中标人。</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注：在签订合同时，供应商明确表示无需预付款或者主动要求降低预付款比例的，采购人可不适用前述规定。</w:t>
      </w:r>
      <w:r/>
    </w:p>
    <w:p>
      <w:pPr>
        <w:ind w:firstLine="480"/>
        <w:spacing w:line="500" w:lineRule="exact"/>
        <w:rPr>
          <w:rFonts w:hint="eastAsia" w:ascii="宋体" w:hAnsi="宋体" w:cs="宋体"/>
          <w:sz w:val="24"/>
          <w:szCs w:val="32"/>
        </w:rPr>
      </w:pPr>
      <w:r>
        <w:rPr>
          <w:rFonts w:hint="eastAsia" w:ascii="宋体" w:hAnsi="宋体" w:cs="宋体"/>
          <w:sz w:val="24"/>
          <w:szCs w:val="32"/>
        </w:rPr>
        <w:t xml:space="preserve">（2）甲方按月开展考核评价，到期按甲方出具的考核结果据实支付，其中服务费用的70%作为基本服务费用，30%作为考核费用。考核成绩在90分以上（含90分）全额支付当期全部服务费用；考核成绩在 70-90分（含70 分）之间的，当期服务费用为：基本服务费用+[（实际得分）/100]*考核费用；考核成绩在70分以下为不合格，当期服务费用为基本服务费用。</w:t>
      </w:r>
      <w:r/>
    </w:p>
    <w:p>
      <w:pPr>
        <w:ind w:firstLine="480"/>
        <w:spacing w:line="500" w:lineRule="exact"/>
        <w:rPr>
          <w:rFonts w:hint="eastAsia" w:ascii="宋体" w:hAnsi="宋体" w:cs="宋体"/>
          <w:sz w:val="24"/>
          <w:szCs w:val="32"/>
        </w:rPr>
      </w:pPr>
      <w:r>
        <w:rPr>
          <w:rFonts w:hint="eastAsia" w:ascii="宋体" w:hAnsi="宋体" w:cs="宋体"/>
          <w:sz w:val="24"/>
          <w:szCs w:val="32"/>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ind w:firstLine="480"/>
        <w:spacing w:line="500" w:lineRule="exact"/>
        <w:rPr>
          <w:rFonts w:hint="eastAsia" w:ascii="宋体" w:hAnsi="宋体" w:cs="宋体"/>
          <w:b/>
          <w:bCs/>
          <w:sz w:val="24"/>
          <w:szCs w:val="32"/>
        </w:rPr>
      </w:pPr>
      <w:r>
        <w:rPr>
          <w:rFonts w:hint="eastAsia" w:ascii="宋体" w:hAnsi="宋体" w:cs="宋体"/>
          <w:sz w:val="24"/>
          <w:szCs w:val="32"/>
        </w:rPr>
        <w:t xml:space="preserve">（</w:t>
      </w:r>
      <w:r>
        <w:rPr>
          <w:rFonts w:hint="eastAsia" w:ascii="宋体" w:hAnsi="宋体" w:cs="宋体"/>
          <w:sz w:val="24"/>
          <w:szCs w:val="32"/>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乙方须按照不低于投标报价确定的标准给员工发放工资、给符合缴纳成员缴纳全额社保、给全员全额购买意外险（或雇主责任险），相关标准在采购合同中予以明确，如乙方违反合同约定，甲方将按违约处理不予支付当期合同款，并有权解除合同，并按擅自变更合同违法行为报监管部门处罚。另如有违反《劳动法》等相关规定的，报相关主管部门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（6）甲方支付此项费用外不再承担其它任何费用（包括物业人员的衣食住行），物业服务人员的薪金、福利、休假日补贴等由乙方付给，与甲方无关。</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（7）确因甲方工作需要，乙方应无条件配合甲方完成一些突击工作。如：安排服务人员（内部）临时加班。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（8）在本合同履行过程中，若因国家或地方政府政策的变化致使有些岗位需要取消的，双方一致同意合同亦作相应变更，人员由乙方妥善安置，相应费用甲方不再支付。</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096"/>
        <w:ind w:firstLine="480"/>
        <w:spacing w:line="520" w:lineRule="exact"/>
        <w:rPr>
          <w:rFonts w:hint="eastAsia" w:ascii="宋体" w:hAnsi="宋体" w:cs="宋体"/>
          <w:sz w:val="24"/>
          <w:szCs w:val="24"/>
        </w:rPr>
      </w:pPr>
      <w:r>
        <w:rPr>
          <w:rFonts w:hint="eastAsia" w:ascii="宋体" w:hAnsi="宋体" w:cs="宋体"/>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（12）履约过程中，乙方应根据工作需要，安排好双休日及节假日的值班人员，编制各岗位排班表报采购人备案后执行，并按规定发放加班费。</w:t>
      </w:r>
      <w:r/>
    </w:p>
    <w:p>
      <w:pPr>
        <w:ind w:firstLine="482"/>
        <w:spacing w:line="500" w:lineRule="exact"/>
        <w:rPr>
          <w:rFonts w:hint="eastAsia" w:ascii="宋体" w:hAnsi="宋体" w:cs="宋体"/>
          <w:b/>
          <w:bCs/>
          <w:sz w:val="24"/>
          <w:szCs w:val="21"/>
        </w:rPr>
      </w:pPr>
      <w:r>
        <w:rPr>
          <w:rFonts w:hint="eastAsia" w:ascii="宋体" w:hAnsi="宋体" w:cs="宋体"/>
          <w:b/>
          <w:bCs/>
          <w:sz w:val="24"/>
          <w:szCs w:val="21"/>
        </w:rPr>
        <w:t xml:space="preserve">4、发票开具方式：与合同主体一致的增值税专用或普通发票。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5、服务要求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以招标文件中确定的考核标为准。</w:t>
      </w:r>
      <w:r/>
    </w:p>
    <w:p>
      <w:pPr>
        <w:numPr>
          <w:ilvl w:val="0"/>
          <w:numId w:val="3"/>
        </w:num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履约保证金</w:t>
      </w:r>
      <w:r/>
    </w:p>
    <w:p>
      <w:pPr>
        <w:pStyle w:val="1185"/>
        <w:contextualSpacing/>
        <w:ind w:firstLine="480"/>
        <w:spacing w:line="500" w:lineRule="exact"/>
        <w:rPr>
          <w:rFonts w:hint="eastAsia" w:ascii="宋体" w:hAnsi="宋体" w:cs="宋体"/>
          <w:sz w:val="24"/>
          <w:szCs w:val="24"/>
        </w:rPr>
      </w:pPr>
      <w:r>
        <w:rPr>
          <w:rFonts w:hint="eastAsia" w:ascii="宋体" w:hAnsi="宋体" w:cs="宋体"/>
          <w:sz w:val="24"/>
          <w:szCs w:val="24"/>
        </w:rPr>
        <w:t xml:space="preserve">1、合同签订前，按采购合同总价的5%提交，乙方如使用江苏政府采购电子履约保函（保险）的，可按采购合同总价的3%（履约保证金原提交金额的6折）提交。办理流程、偿付等内容见江苏政府采购网“保险保函”模块。</w:t>
      </w:r>
      <w:r/>
    </w:p>
    <w:p>
      <w:pPr>
        <w:pStyle w:val="1185"/>
        <w:contextualSpacing/>
        <w:ind w:firstLine="480"/>
        <w:spacing w:line="500" w:lineRule="exact"/>
        <w:rPr>
          <w:rFonts w:hint="eastAsia" w:ascii="宋体" w:hAnsi="宋体" w:cs="宋体"/>
          <w:sz w:val="24"/>
          <w:szCs w:val="24"/>
        </w:rPr>
      </w:pPr>
      <w:r>
        <w:rPr>
          <w:rFonts w:hint="eastAsia" w:ascii="宋体" w:hAnsi="宋体" w:cs="宋体"/>
          <w:sz w:val="24"/>
          <w:szCs w:val="24"/>
        </w:rPr>
        <w:t xml:space="preserve">2、以银行电汇、网上银行、数字人民币形式缴纳履约保证金的，退回至乙方存款账户或数字人民币账户；以保函、担保、保险等形式缴纳履约保证金的，在保函、担保、保险约定的保证期限届满之日起自行失效。</w:t>
      </w:r>
      <w:r/>
    </w:p>
    <w:p>
      <w:pPr>
        <w:pStyle w:val="1185"/>
        <w:contextualSpacing/>
        <w:ind w:firstLine="480"/>
        <w:spacing w:line="500" w:lineRule="exact"/>
        <w:rPr>
          <w:rFonts w:hint="eastAsia" w:ascii="宋体" w:hAnsi="宋体" w:cs="宋体"/>
          <w:sz w:val="24"/>
          <w:szCs w:val="24"/>
        </w:rPr>
      </w:pPr>
      <w:r>
        <w:rPr>
          <w:rFonts w:hint="eastAsia" w:ascii="宋体" w:hAnsi="宋体" w:cs="宋体"/>
          <w:sz w:val="24"/>
          <w:szCs w:val="24"/>
        </w:rPr>
        <w:t xml:space="preserve">3、以银行电汇、网上银行、数字人民币形式缴纳履约保证金的，退回至乙方存款账户或数字人民币账户。履约保证金退还条件：具有验收合格相关证明材料。履约保证金退还时间：甲方收到乙方退付申请后5个工作日内退还。除不可抗力外，乙方不履行与甲方订立的采购合同的，履约保证金不予退还，给甲方造成的损失超过履约保证金数额的，还应对超过部分予以赔偿。甲方逾期退还履约保证金的，除应退还履约保证金外，还应按中国人民银行同期贷款基准利率上浮20％后的利率支付超期资金占用费，但因乙方自身原因导致无法及时退还的除外。</w:t>
      </w:r>
      <w:r/>
    </w:p>
    <w:p>
      <w:pPr>
        <w:pStyle w:val="1185"/>
        <w:contextualSpacing/>
        <w:ind w:firstLine="480"/>
        <w:spacing w:line="500" w:lineRule="exact"/>
        <w:rPr>
          <w:rFonts w:hint="eastAsia" w:ascii="宋体" w:hAnsi="宋体" w:cs="宋体"/>
          <w:sz w:val="24"/>
          <w:szCs w:val="24"/>
        </w:rPr>
      </w:pPr>
      <w:r>
        <w:rPr>
          <w:rFonts w:hint="eastAsia" w:ascii="宋体" w:hAnsi="宋体" w:cs="宋体"/>
          <w:sz w:val="24"/>
          <w:szCs w:val="24"/>
        </w:rPr>
        <w:t xml:space="preserve">4、以保函、担保、保险等形式缴纳履约保证金的，在保函、担保、保险约定的保证期限届满之日起自行失效。</w:t>
      </w:r>
      <w:r/>
    </w:p>
    <w:p>
      <w:pPr>
        <w:ind w:firstLine="482"/>
        <w:spacing w:line="500" w:lineRule="exact"/>
        <w:rPr>
          <w:rFonts w:hint="eastAsia" w:ascii="宋体" w:hAnsi="宋体" w:cs="宋体"/>
          <w:b/>
          <w:sz w:val="24"/>
          <w:szCs w:val="24"/>
        </w:rPr>
      </w:pPr>
      <w:r>
        <w:rPr>
          <w:rFonts w:hint="eastAsia" w:ascii="宋体" w:hAnsi="宋体" w:cs="宋体"/>
          <w:b/>
          <w:sz w:val="24"/>
          <w:szCs w:val="24"/>
        </w:rPr>
        <w:t xml:space="preserve">六、违约责任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 ；迟延履行的违约金计算数额达到前述最高限额之日起，甲方有权在要求乙方支付违约金的同时，书面通知乙方解除本合同。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 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8、未经甲方许可，乙方将承包的物业管理服务转包他人，采购人有权终止合同。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9、乙方长期（连续两个月内）有人员不到位，影响物业管理质量的，经甲方要求及时改正，乙方仍拒不改正的，甲方将报经财政监管部门终止合同。</w:t>
      </w:r>
      <w:r/>
    </w:p>
    <w:p>
      <w:pPr>
        <w:ind w:firstLine="480"/>
        <w:spacing w:line="500" w:lineRule="exact"/>
        <w:rPr>
          <w:rFonts w:hint="eastAsia" w:ascii="宋体" w:hAnsi="宋体" w:cs="宋体"/>
          <w:b/>
          <w:sz w:val="24"/>
          <w:szCs w:val="24"/>
        </w:rPr>
      </w:pPr>
      <w:r>
        <w:rPr>
          <w:rFonts w:hint="eastAsia" w:ascii="宋体" w:hAnsi="宋体" w:cs="宋体"/>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ind w:firstLine="482"/>
        <w:spacing w:line="500" w:lineRule="exact"/>
        <w:rPr>
          <w:rFonts w:hint="eastAsia" w:ascii="宋体" w:hAnsi="宋体" w:cs="宋体"/>
          <w:b/>
          <w:sz w:val="24"/>
          <w:szCs w:val="24"/>
          <w:lang w:val="zh-CN"/>
        </w:rPr>
      </w:pPr>
      <w:r>
        <w:rPr>
          <w:rFonts w:hint="eastAsia" w:ascii="宋体" w:hAnsi="宋体" w:cs="宋体"/>
          <w:b/>
          <w:sz w:val="24"/>
          <w:szCs w:val="24"/>
        </w:rPr>
        <w:t xml:space="preserve">七</w:t>
      </w:r>
      <w:r>
        <w:rPr>
          <w:rFonts w:hint="eastAsia" w:ascii="宋体" w:hAnsi="宋体" w:cs="宋体"/>
          <w:b/>
          <w:sz w:val="24"/>
          <w:szCs w:val="24"/>
          <w:lang w:val="zh-CN"/>
        </w:rPr>
        <w:t xml:space="preserve">、供应商合法权益补偿机制</w:t>
      </w:r>
      <w:r/>
    </w:p>
    <w:p>
      <w:pPr>
        <w:ind w:firstLine="480"/>
        <w:spacing w:line="50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2"/>
        <w:spacing w:line="500" w:lineRule="exact"/>
        <w:widowControl/>
        <w:tabs>
          <w:tab w:val="left" w:pos="6890" w:leader="none"/>
          <w:tab w:val="left" w:pos="8105" w:leader="none"/>
        </w:tabs>
        <w:rPr>
          <w:rFonts w:hint="eastAsia" w:ascii="宋体" w:hAnsi="宋体" w:cs="宋体"/>
          <w:b/>
          <w:sz w:val="24"/>
          <w:szCs w:val="24"/>
        </w:rPr>
      </w:pPr>
      <w:r>
        <w:rPr>
          <w:rFonts w:hint="eastAsia" w:ascii="宋体" w:hAnsi="宋体" w:cs="宋体"/>
          <w:b/>
          <w:sz w:val="24"/>
          <w:szCs w:val="24"/>
        </w:rPr>
        <w:t xml:space="preserve">八、争议的解决</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1、因履行本合同引起的或与本合同有关的争议，甲乙双方应首先友好协商解决，如果协商不能解决争议，则向甲方所在地有管辖权的人民法院提起诉讼。</w:t>
      </w:r>
      <w:r/>
    </w:p>
    <w:p>
      <w:pPr>
        <w:ind w:firstLine="480"/>
        <w:spacing w:line="500" w:lineRule="exact"/>
        <w:widowControl/>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2、在审理期间，本合同应继续履行。</w:t>
      </w:r>
      <w:r/>
    </w:p>
    <w:p>
      <w:pPr>
        <w:ind w:firstLine="480"/>
        <w:spacing w:line="500" w:lineRule="exact"/>
        <w:widowControl/>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line="500" w:lineRule="exact"/>
        <w:tabs>
          <w:tab w:val="left" w:pos="6890" w:leader="none"/>
          <w:tab w:val="left" w:pos="8105" w:leader="none"/>
        </w:tabs>
        <w:rPr>
          <w:rFonts w:hint="eastAsia" w:ascii="宋体" w:hAnsi="宋体" w:cs="宋体"/>
          <w:bCs/>
          <w:sz w:val="24"/>
          <w:szCs w:val="24"/>
        </w:rPr>
      </w:pPr>
      <w:r>
        <w:rPr>
          <w:rFonts w:hint="eastAsia" w:ascii="宋体" w:hAnsi="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cs="宋体"/>
          <w:bCs/>
          <w:sz w:val="24"/>
          <w:szCs w:val="24"/>
          <w:lang w:val="zh-CN"/>
        </w:rPr>
        <w:t xml:space="preserve">。</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九、附则</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1、双方可对本合同的条款进行补充，以书面形式签订补充协议，补充协议与本合同具有同等效力。</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2、本合同之附件均为合同有效组成部分。本合同及其附件和补充协议中未规定的事宜，遵照中华人民共和国有关法律、法规和规章执行。</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3、本合同一式四份，以中文书写，甲方、乙方各执贰份。</w:t>
      </w:r>
      <w:r/>
    </w:p>
    <w:p>
      <w:pPr>
        <w:ind w:firstLine="480"/>
        <w:spacing w:line="500" w:lineRule="exact"/>
        <w:widowControl/>
        <w:tabs>
          <w:tab w:val="left" w:pos="6890" w:leader="none"/>
          <w:tab w:val="left" w:pos="8105" w:leader="none"/>
        </w:tabs>
        <w:rPr>
          <w:rFonts w:hint="eastAsia" w:ascii="宋体" w:hAnsi="宋体" w:cs="宋体"/>
          <w:bCs/>
          <w:color w:val="000000"/>
          <w:sz w:val="24"/>
          <w:szCs w:val="24"/>
        </w:rPr>
      </w:pPr>
      <w:r>
        <w:rPr>
          <w:rFonts w:hint="eastAsia" w:ascii="宋体" w:hAnsi="宋体" w:cs="宋体"/>
          <w:bCs/>
          <w:color w:val="000000"/>
          <w:sz w:val="24"/>
          <w:szCs w:val="24"/>
        </w:rPr>
        <w:t xml:space="preserve">4、本合同一切未尽事宜，按《中华人民共和国民法典》有关规定执行，无相关规定的，由甲乙双方协商解决。</w:t>
      </w:r>
      <w:r/>
    </w:p>
    <w:p>
      <w:pPr>
        <w:ind w:firstLine="482"/>
        <w:spacing w:line="500" w:lineRule="exact"/>
        <w:widowControl/>
        <w:rPr>
          <w:rFonts w:hint="eastAsia" w:ascii="宋体" w:hAnsi="宋体" w:cs="宋体"/>
          <w:b/>
          <w:sz w:val="24"/>
          <w:szCs w:val="24"/>
        </w:rPr>
      </w:pPr>
      <w:r>
        <w:rPr>
          <w:rFonts w:hint="eastAsia" w:ascii="宋体" w:hAnsi="宋体" w:cs="宋体"/>
          <w:b/>
          <w:sz w:val="24"/>
          <w:szCs w:val="24"/>
        </w:rPr>
        <w:t xml:space="preserve">十、合同的生效</w:t>
      </w:r>
      <w:r/>
    </w:p>
    <w:p>
      <w:pPr>
        <w:ind w:firstLine="480"/>
        <w:spacing w:line="500" w:lineRule="exact"/>
        <w:widowControl/>
        <w:rPr>
          <w:rFonts w:hint="eastAsia" w:ascii="宋体" w:hAnsi="宋体" w:cs="宋体"/>
          <w:bCs/>
          <w:sz w:val="24"/>
          <w:szCs w:val="24"/>
        </w:rPr>
      </w:pPr>
      <w:r>
        <w:rPr>
          <w:rFonts w:hint="eastAsia" w:ascii="宋体" w:hAnsi="宋体" w:cs="宋体"/>
          <w:bCs/>
          <w:sz w:val="24"/>
          <w:szCs w:val="24"/>
        </w:rPr>
        <w:t xml:space="preserve">本合同经甲方、乙方签字盖章后生效。</w:t>
      </w:r>
      <w:r/>
    </w:p>
    <w:p>
      <w:pPr>
        <w:ind w:firstLine="480"/>
        <w:spacing w:line="500" w:lineRule="exact"/>
        <w:widowControl/>
        <w:rPr>
          <w:rFonts w:hint="eastAsia" w:ascii="宋体" w:hAnsi="宋体" w:cs="宋体"/>
          <w:bCs/>
          <w:sz w:val="24"/>
          <w:szCs w:val="24"/>
          <w:lang w:val="zh-CN"/>
        </w:rPr>
      </w:pPr>
      <w:r>
        <w:rPr>
          <w:rFonts w:hint="eastAsia" w:ascii="宋体" w:hAnsi="宋体" w:cs="宋体"/>
          <w:bCs/>
          <w:sz w:val="24"/>
          <w:szCs w:val="24"/>
          <w:lang w:val="zh-CN"/>
        </w:rPr>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甲方：  （盖章）                     乙方：   （盖章）</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地址：                                 地址：</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法定（授权）代表人：                法定（授权）代表人：</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联系人：                               联系人：</w:t>
      </w:r>
      <w:r/>
    </w:p>
    <w:p>
      <w:pPr>
        <w:spacing w:before="94" w:after="94" w:line="500" w:lineRule="exact"/>
        <w:widowControl/>
        <w:rPr>
          <w:rFonts w:hint="eastAsia" w:ascii="宋体" w:hAnsi="宋体" w:cs="宋体"/>
          <w:bCs/>
          <w:sz w:val="24"/>
          <w:szCs w:val="24"/>
        </w:rPr>
      </w:pPr>
      <w:r>
        <w:rPr>
          <w:rFonts w:hint="eastAsia" w:ascii="宋体" w:hAnsi="宋体" w:cs="宋体"/>
          <w:bCs/>
          <w:sz w:val="24"/>
          <w:szCs w:val="24"/>
        </w:rPr>
        <w:t xml:space="preserve">联系电话：                             联系电话：</w:t>
      </w:r>
      <w:r/>
    </w:p>
    <w:p>
      <w:pPr>
        <w:spacing w:before="94" w:after="94" w:line="500" w:lineRule="exact"/>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rPr>
          <w:rFonts w:hint="eastAsia"/>
          <w:b/>
          <w:sz w:val="44"/>
          <w:szCs w:val="44"/>
        </w:rPr>
        <w:t xml:space="preserve">第六章  投标文件格式</w:t>
      </w:r>
      <w:bookmarkEnd w:id="143"/>
      <w:r/>
      <w:bookmarkEnd w:id="144"/>
      <w:r/>
      <w:bookmarkEnd w:id="145"/>
      <w:r/>
      <w:bookmarkEnd w:id="146"/>
      <w:r/>
      <w:bookmarkEnd w:id="147"/>
      <w:r/>
      <w:bookmarkEnd w:id="148"/>
      <w:r/>
      <w:r/>
    </w:p>
    <w:p>
      <w:r/>
      <w:bookmarkStart w:id="149" w:name="EB819316f773b24a75aef829f9b72900c0"/>
      <w:r/>
      <w:r/>
    </w:p>
    <w:p>
      <w:pPr>
        <w:rPr>
          <w:rFonts w:ascii="Times New Roman" w:hAnsi="Times New Roman"/>
          <w:b/>
          <w:sz w:val="72"/>
        </w:rPr>
      </w:pPr>
      <w:r/>
      <w:bookmarkStart w:id="150"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
    </w:p>
    <w:p>
      <w:pPr>
        <w:pStyle w:val="109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r/>
    </w:p>
    <w:p>
      <w:pPr>
        <w:pStyle w:val="1099"/>
        <w:rPr>
          <w:rFonts w:hint="eastAsia" w:ascii="宋体" w:hAnsi="宋体" w:eastAsia="宋体" w:cs="宋体"/>
        </w:rPr>
      </w:pPr>
      <w:r>
        <w:rPr>
          <w:rFonts w:hint="eastAsia" w:ascii="宋体" w:hAnsi="宋体" w:eastAsia="宋体" w:cs="宋体"/>
        </w:rPr>
      </w:r>
      <w:bookmarkEnd w:id="149"/>
      <w:r/>
      <w:r/>
    </w:p>
    <w:p>
      <w:pPr>
        <w:pStyle w:val="1099"/>
        <w:rPr>
          <w:rFonts w:hint="eastAsia" w:ascii="宋体" w:hAnsi="宋体" w:eastAsia="宋体" w:cs="宋体"/>
        </w:rPr>
      </w:pPr>
      <w:r>
        <w:rPr>
          <w:rFonts w:hint="eastAsia" w:ascii="宋体" w:hAnsi="宋体" w:eastAsia="宋体" w:cs="宋体"/>
        </w:rPr>
      </w:r>
      <w:r/>
    </w:p>
    <w:p>
      <w:pPr>
        <w:pStyle w:val="109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9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99"/>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八、人员配备要求承诺函</w:t>
      </w:r>
      <w:r/>
    </w:p>
    <w:p>
      <w:pPr>
        <w:spacing w:line="360" w:lineRule="auto"/>
        <w:rPr>
          <w:rFonts w:ascii="Times New Roman" w:hAnsi="Times New Roman"/>
          <w:sz w:val="28"/>
          <w:szCs w:val="28"/>
        </w:rPr>
      </w:pPr>
      <w:r>
        <w:rPr>
          <w:rFonts w:hint="eastAsia" w:ascii="Times New Roman" w:hAnsi="Times New Roman"/>
          <w:sz w:val="28"/>
          <w:szCs w:val="28"/>
        </w:rPr>
        <w:t xml:space="preserve">九、服务要求承诺（一）及相关服务方案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十一、考核标准承诺</w:t>
      </w:r>
      <w:r/>
    </w:p>
    <w:p>
      <w:pPr>
        <w:spacing w:line="360" w:lineRule="auto"/>
        <w:rPr>
          <w:rFonts w:ascii="Times New Roman" w:hAnsi="Times New Roman"/>
          <w:sz w:val="28"/>
          <w:szCs w:val="28"/>
        </w:rPr>
      </w:pPr>
      <w:r>
        <w:rPr>
          <w:rFonts w:hint="eastAsia" w:ascii="Times New Roman" w:hAnsi="Times New Roman"/>
          <w:sz w:val="28"/>
          <w:szCs w:val="28"/>
        </w:rPr>
        <w:t xml:space="preserve">十二、投标所需其他材料</w:t>
      </w:r>
      <w:r/>
    </w:p>
    <w:p>
      <w:r/>
      <w:bookmarkStart w:id="151" w:name="_Toc20577"/>
      <w:r/>
      <w:bookmarkStart w:id="152" w:name="_Toc26005"/>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r/>
      <w:r/>
    </w:p>
    <w:p>
      <w:r/>
      <w:r/>
    </w:p>
    <w:p>
      <w:pPr>
        <w:pStyle w:val="1109"/>
        <w:rPr>
          <w:rFonts w:hint="eastAsia"/>
          <w:b w:val="0"/>
          <w:bCs/>
        </w:rPr>
        <w:outlineLvl w:val="1"/>
      </w:pPr>
      <w:r/>
      <w:bookmarkStart w:id="153" w:name="_Toc8978"/>
      <w:r>
        <w:rPr>
          <w:rFonts w:hint="eastAsia"/>
          <w:b w:val="0"/>
          <w:bCs/>
        </w:rPr>
        <w:t xml:space="preserve">一</w:t>
      </w:r>
      <w:r>
        <w:rPr>
          <w:b w:val="0"/>
          <w:bCs/>
        </w:rPr>
        <w:t xml:space="preserve">、投标函</w:t>
      </w:r>
      <w:bookmarkEnd w:id="151"/>
      <w:r/>
      <w:bookmarkEnd w:id="152"/>
      <w:r/>
      <w:bookmarkEnd w:id="153"/>
      <w:r/>
      <w:r/>
    </w:p>
    <w:p>
      <w:pPr>
        <w:pStyle w:val="1110"/>
        <w:jc w:val="center"/>
        <w:rPr>
          <w:rFonts w:ascii="方正小标宋_GBK" w:eastAsia="方正小标宋_GBK"/>
          <w:bCs/>
          <w:sz w:val="32"/>
          <w:szCs w:val="32"/>
        </w:rPr>
      </w:pPr>
      <w:r>
        <w:rPr>
          <w:rFonts w:ascii="方正小标宋_GBK" w:eastAsia="方正小标宋_GBK"/>
          <w:bCs/>
          <w:sz w:val="32"/>
          <w:szCs w:val="32"/>
        </w:rPr>
      </w:r>
      <w:r/>
    </w:p>
    <w:p>
      <w:pPr>
        <w:pStyle w:val="1110"/>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110"/>
        <w:jc w:val="left"/>
        <w:spacing w:line="500" w:lineRule="exact"/>
        <w:rPr>
          <w:rFonts w:hint="eastAsia" w:ascii="宋体" w:hAnsi="宋体"/>
          <w:sz w:val="24"/>
          <w:szCs w:val="24"/>
          <w:u w:val="single"/>
        </w:rPr>
      </w:pPr>
      <w:r>
        <w:rPr>
          <w:rFonts w:hint="eastAsia" w:ascii="宋体" w:hAnsi="宋体"/>
          <w:sz w:val="24"/>
          <w:szCs w:val="24"/>
          <w:u w:val="single"/>
        </w:rPr>
        <w:t xml:space="preserve">宿迁市救助管理站：</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lang w:eastAsia="zh-CN"/>
        </w:rPr>
        <w:t xml:space="preserve">JSZC-321300-JZCG-G2025-0097</w:t>
      </w:r>
      <w:r>
        <w:rPr>
          <w:rFonts w:hint="eastAsia" w:ascii="宋体" w:hAnsi="宋体"/>
          <w:sz w:val="24"/>
          <w:szCs w:val="24"/>
        </w:rPr>
        <w:t xml:space="preserve">的</w:t>
      </w:r>
      <w:r>
        <w:rPr>
          <w:rFonts w:hint="eastAsia" w:ascii="宋体" w:hAnsi="宋体"/>
          <w:sz w:val="24"/>
          <w:szCs w:val="24"/>
          <w:u w:val="single"/>
        </w:rPr>
        <w:t xml:space="preserve">宿迁市救助管理站物业服务采购项目</w:t>
      </w:r>
      <w:r>
        <w:rPr>
          <w:rFonts w:hint="eastAsia" w:ascii="宋体" w:hAnsi="宋体"/>
          <w:sz w:val="24"/>
          <w:szCs w:val="24"/>
        </w:rPr>
        <w:t xml:space="preserve">的招标文件，我方在参加本项目招投标活动中，特作出如下承诺：</w:t>
      </w:r>
      <w:r/>
    </w:p>
    <w:p>
      <w:pPr>
        <w:pStyle w:val="1110"/>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110"/>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10"/>
        <w:jc w:val="left"/>
        <w:spacing w:line="500" w:lineRule="exact"/>
        <w:rPr>
          <w:rFonts w:hint="eastAsia" w:ascii="宋体" w:hAnsi="宋体"/>
          <w:sz w:val="24"/>
          <w:szCs w:val="24"/>
        </w:rPr>
      </w:pPr>
      <w:r>
        <w:rPr>
          <w:rFonts w:hint="eastAsia" w:ascii="宋体" w:hAnsi="宋体"/>
          <w:sz w:val="24"/>
          <w:szCs w:val="24"/>
        </w:rPr>
      </w:r>
      <w:r/>
    </w:p>
    <w:p>
      <w:pPr>
        <w:pStyle w:val="1110"/>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10"/>
        <w:ind w:firstLine="480"/>
        <w:rPr>
          <w:rFonts w:hint="eastAsia" w:ascii="宋体" w:hAnsi="宋体"/>
          <w:sz w:val="24"/>
          <w:szCs w:val="24"/>
        </w:rPr>
      </w:pPr>
      <w:r>
        <w:rPr>
          <w:rFonts w:hint="eastAsia" w:ascii="宋体" w:hAnsi="宋体"/>
          <w:sz w:val="24"/>
          <w:szCs w:val="24"/>
        </w:rPr>
      </w:r>
      <w:r/>
    </w:p>
    <w:p>
      <w:pPr>
        <w:pStyle w:val="1110"/>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4" w:name="_Toc3680"/>
      <w:r/>
      <w:bookmarkStart w:id="155" w:name="_Toc29506"/>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110"/>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
    </w:p>
    <w:p>
      <w:pPr>
        <w:pStyle w:val="1229"/>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lang w:eastAsia="zh-CN"/>
        </w:rPr>
        <w:t xml:space="preserve">JSZC-321300-JZCG-G2025-0097</w:t>
      </w:r>
      <w:r>
        <w:rPr>
          <w:rFonts w:hint="eastAsia" w:ascii="宋体" w:hAnsi="宋体"/>
          <w:sz w:val="24"/>
          <w:szCs w:val="24"/>
        </w:rPr>
        <w:t xml:space="preserve">号</w:t>
      </w:r>
      <w:r>
        <w:rPr>
          <w:rFonts w:hint="eastAsia" w:ascii="宋体" w:hAnsi="宋体"/>
          <w:sz w:val="24"/>
          <w:szCs w:val="24"/>
          <w:u w:val="single"/>
        </w:rPr>
        <w:t xml:space="preserve">宿迁市救助管理站物业服务采购项目</w:t>
      </w:r>
      <w:r>
        <w:rPr>
          <w:rFonts w:hint="eastAsia" w:ascii="宋体" w:hAnsi="宋体"/>
          <w:sz w:val="24"/>
          <w:szCs w:val="24"/>
        </w:rPr>
        <w:t xml:space="preserve">采购活动的合法代理人，以本单位名义全权处理一切与该项目采购有关的事务。</w:t>
      </w:r>
      <w:r/>
    </w:p>
    <w:p>
      <w:pPr>
        <w:pStyle w:val="1229"/>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22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229"/>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229"/>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229"/>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229"/>
        <w:ind w:firstLine="482"/>
        <w:spacing w:line="480" w:lineRule="exact"/>
        <w:rPr>
          <w:rFonts w:hint="eastAsia" w:ascii="宋体" w:hAnsi="宋体"/>
          <w:sz w:val="24"/>
          <w:szCs w:val="24"/>
        </w:rPr>
      </w:pPr>
      <w:r>
        <w:rPr>
          <w:rFonts w:hint="eastAsia"/>
          <w:sz w:val="24"/>
          <w:szCs w:val="24"/>
        </w:rPr>
        <w:t xml:space="preserve">日期：</w:t>
      </w:r>
      <w:bookmarkStart w:id="158" w:name="_Hlt26955070"/>
      <w:r/>
      <w:bookmarkEnd w:id="158"/>
      <w:r/>
      <w:bookmarkStart w:id="159" w:name="_格式3__银行出具的资信证明"/>
      <w:r/>
      <w:bookmarkEnd w:id="159"/>
      <w:r/>
      <w:bookmarkStart w:id="160" w:name="_Hlt26671380"/>
      <w:r/>
      <w:bookmarkEnd w:id="160"/>
      <w:r>
        <w:rPr>
          <w:rFonts w:hint="eastAsia"/>
          <w:sz w:val="24"/>
          <w:szCs w:val="24"/>
          <w:u w:val="single"/>
        </w:rPr>
        <w:t xml:space="preserve">                                         </w:t>
      </w:r>
      <w:r/>
    </w:p>
    <w:p>
      <w:pPr>
        <w:pStyle w:val="1112"/>
        <w:ind w:firstLine="629"/>
        <w:spacing w:line="700" w:lineRule="exact"/>
        <w:rPr>
          <w:rFonts w:ascii="方正仿宋_GBK" w:eastAsia="方正仿宋_GBK"/>
          <w:sz w:val="24"/>
        </w:rPr>
      </w:pPr>
      <w:r>
        <w:rPr>
          <w:rFonts w:ascii="方正仿宋_GBK" w:eastAsia="方正仿宋_GBK"/>
          <w:sz w:val="24"/>
        </w:rPr>
      </w:r>
      <w:r/>
    </w:p>
    <w:p>
      <w:pPr>
        <w:pStyle w:val="1115"/>
        <w:rPr>
          <w:rFonts w:hint="eastAsia"/>
        </w:rPr>
        <w:outlineLvl w:val="1"/>
      </w:pPr>
      <w:r>
        <w:br w:type="page" w:clear="all"/>
      </w:r>
      <w:bookmarkStart w:id="161" w:name="_Toc30543"/>
      <w:r/>
      <w:bookmarkStart w:id="162" w:name="_Toc13550"/>
      <w:r/>
      <w:bookmarkStart w:id="163" w:name="_Toc27199"/>
      <w:r>
        <w:rPr>
          <w:rFonts w:hint="eastAsia"/>
          <w:b w:val="0"/>
          <w:bCs/>
        </w:rPr>
        <w:t xml:space="preserve">三</w:t>
      </w:r>
      <w:r>
        <w:rPr>
          <w:b w:val="0"/>
          <w:bCs/>
        </w:rPr>
        <w:t xml:space="preserve">、开标一览表</w:t>
      </w:r>
      <w:bookmarkEnd w:id="161"/>
      <w:r/>
      <w:bookmarkEnd w:id="162"/>
      <w:r/>
      <w:bookmarkEnd w:id="163"/>
      <w:r/>
      <w:r/>
    </w:p>
    <w:p>
      <w:pPr>
        <w:pStyle w:val="1116"/>
        <w:rPr>
          <w:rFonts w:hint="eastAsia" w:ascii="宋体" w:hAnsi="宋体" w:eastAsia="宋体" w:cs="宋体"/>
        </w:rPr>
      </w:pPr>
      <w:r>
        <w:rPr>
          <w:rFonts w:hint="eastAsia" w:ascii="宋体" w:hAnsi="宋体" w:eastAsia="宋体" w:cs="宋体"/>
        </w:rPr>
      </w:r>
      <w:r/>
    </w:p>
    <w:p>
      <w:pPr>
        <w:pStyle w:val="1116"/>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采购项目名称：宿迁市救助管理站物业服务采购项目</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cs="宋体"/>
          <w:sz w:val="24"/>
          <w:szCs w:val="24"/>
          <w:lang w:eastAsia="zh-CN"/>
        </w:rPr>
        <w:t xml:space="preserve">JSZC-321300-JZCG-G2025-0097</w:t>
      </w:r>
      <w:r>
        <w:rPr>
          <w:rFonts w:hint="eastAsia" w:ascii="宋体" w:hAnsi="宋体" w:cs="宋体"/>
          <w:sz w:val="24"/>
          <w:szCs w:val="24"/>
        </w:rPr>
        <w:t xml:space="preserve"> </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180"/>
          <w:rFonts w:ascii="宋体" w:hAnsi="宋体" w:cs="宋体"/>
          <w:sz w:val="24"/>
          <w:szCs w:val="24"/>
        </w:rPr>
        <w:t xml:space="preserve">分包号</w:t>
      </w:r>
      <w:r>
        <w:rPr>
          <w:rFonts w:ascii="宋体" w:hAnsi="宋体" w:cs="宋体"/>
          <w:sz w:val="24"/>
          <w:szCs w:val="24"/>
        </w:rPr>
        <w:t xml:space="preserve"> </w:t>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1180"/>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4"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4"/>
      <w:r/>
      <w:r/>
    </w:p>
    <w:p>
      <w:pPr>
        <w:pStyle w:val="1118"/>
        <w:rPr>
          <w:rFonts w:hint="eastAsia"/>
        </w:rPr>
        <w:outlineLvl w:val="1"/>
      </w:pPr>
      <w:r>
        <w:br w:type="page" w:clear="all"/>
      </w:r>
      <w:bookmarkStart w:id="165" w:name="_Toc26543"/>
      <w:r/>
      <w:bookmarkStart w:id="166" w:name="_Toc956"/>
      <w:r/>
      <w:bookmarkStart w:id="167" w:name="_Toc12614"/>
      <w:r>
        <w:rPr>
          <w:rFonts w:hint="eastAsia"/>
          <w:b w:val="0"/>
          <w:bCs/>
        </w:rPr>
        <w:t xml:space="preserve">四</w:t>
      </w:r>
      <w:r>
        <w:rPr>
          <w:b w:val="0"/>
          <w:bCs/>
        </w:rPr>
        <w:t xml:space="preserve">、</w:t>
      </w:r>
      <w:bookmarkEnd w:id="165"/>
      <w:r/>
      <w:bookmarkEnd w:id="166"/>
      <w:r>
        <w:rPr>
          <w:rFonts w:hint="eastAsia"/>
          <w:b w:val="0"/>
          <w:bCs/>
        </w:rPr>
        <w:t xml:space="preserve">分项报价表</w:t>
      </w:r>
      <w:bookmarkEnd w:id="167"/>
      <w:r/>
      <w:r/>
    </w:p>
    <w:tbl>
      <w:tblPr>
        <w:tblStyle w:val="809"/>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2019"/>
        <w:gridCol w:w="1308"/>
        <w:gridCol w:w="1701"/>
        <w:gridCol w:w="909"/>
        <w:gridCol w:w="1290"/>
      </w:tblGrid>
      <w:tr>
        <w:trPr>
          <w:cantSplit/>
          <w:jc w:val="center"/>
          <w:trHeight w:val="580"/>
        </w:trPr>
        <w:tc>
          <w:tcPr>
            <w:gridSpan w:val="7"/>
            <w:tcW w:w="10393" w:type="dxa"/>
            <w:vAlign w:val="center"/>
            <w:textDirection w:val="lrTb"/>
            <w:noWrap w:val="false"/>
          </w:tcPr>
          <w:p>
            <w:pPr>
              <w:pStyle w:val="1166"/>
              <w:jc w:val="center"/>
              <w:spacing w:line="360" w:lineRule="exact"/>
              <w:widowControl/>
              <w:rPr>
                <w:rFonts w:hint="eastAsia" w:ascii="宋体" w:hAnsi="宋体" w:cs="宋体"/>
                <w:sz w:val="24"/>
                <w:szCs w:val="24"/>
              </w:rPr>
            </w:pPr>
            <w:r/>
            <w:bookmarkStart w:id="168" w:name="_Toc17418"/>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019" w:type="dxa"/>
            <w:vAlign w:val="center"/>
            <w:textDirection w:val="lrTb"/>
            <w:noWrap w:val="false"/>
          </w:tcPr>
          <w:p>
            <w:pPr>
              <w:pStyle w:val="1132"/>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08"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w:t>
            </w:r>
            <w:r/>
          </w:p>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701"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w:t>
            </w:r>
            <w:r/>
          </w:p>
          <w:p>
            <w:pPr>
              <w:pStyle w:val="1166"/>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248" w:type="dxa"/>
            <w:vAlign w:val="center"/>
            <w:vMerge w:val="restart"/>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人员工资相关</w:t>
            </w:r>
            <w:r/>
          </w:p>
        </w:tc>
        <w:tc>
          <w:tcPr>
            <w:tcW w:w="201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szCs w:val="21"/>
              </w:rPr>
              <w:t xml:space="preserve">保安队长</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248" w:type="dxa"/>
            <w:vAlign w:val="center"/>
            <w:vMerge w:val="continue"/>
            <w:textDirection w:val="lrTb"/>
            <w:noWrap w:val="false"/>
          </w:tcPr>
          <w:p>
            <w:pPr>
              <w:pStyle w:val="1106"/>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szCs w:val="21"/>
              </w:rPr>
              <w:t xml:space="preserve">保安人员</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248" w:type="dxa"/>
            <w:vAlign w:val="center"/>
            <w:vMerge w:val="continue"/>
            <w:textDirection w:val="lrTb"/>
            <w:noWrap w:val="false"/>
          </w:tcPr>
          <w:p>
            <w:pPr>
              <w:pStyle w:val="1106"/>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消控室值班人员</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p>
        </w:tc>
        <w:tc>
          <w:tcPr>
            <w:tcW w:w="909"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248" w:type="dxa"/>
            <w:vAlign w:val="center"/>
            <w:vMerge w:val="continue"/>
            <w:textDirection w:val="lrTb"/>
            <w:noWrap w:val="false"/>
          </w:tcPr>
          <w:p>
            <w:pPr>
              <w:pStyle w:val="1106"/>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水电人员</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248" w:type="dxa"/>
            <w:vAlign w:val="center"/>
            <w:vMerge w:val="continue"/>
            <w:textDirection w:val="lrTb"/>
            <w:noWrap w:val="false"/>
          </w:tcPr>
          <w:p>
            <w:pPr>
              <w:pStyle w:val="1106"/>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保洁人员</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pStyle w:val="1167"/>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248" w:type="dxa"/>
            <w:vAlign w:val="center"/>
            <w:vMerge w:val="restart"/>
            <w:textDirection w:val="lrTb"/>
            <w:noWrap w:val="false"/>
          </w:tcPr>
          <w:p>
            <w:pPr>
              <w:pStyle w:val="1106"/>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019" w:type="dxa"/>
            <w:vAlign w:val="center"/>
            <w:textDirection w:val="lrTb"/>
            <w:noWrap w:val="false"/>
          </w:tcPr>
          <w:p>
            <w:pPr>
              <w:pStyle w:val="1167"/>
              <w:jc w:val="center"/>
              <w:spacing w:line="36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意外险</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2248" w:type="dxa"/>
            <w:vAlign w:val="center"/>
            <w:vMerge w:val="continue"/>
            <w:textDirection w:val="lrTb"/>
            <w:noWrap w:val="false"/>
          </w:tcPr>
          <w:p>
            <w:pPr>
              <w:pStyle w:val="1106"/>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019" w:type="dxa"/>
            <w:vAlign w:val="center"/>
            <w:textDirection w:val="lrTb"/>
            <w:noWrap w:val="false"/>
          </w:tcPr>
          <w:p>
            <w:pPr>
              <w:pStyle w:val="1167"/>
              <w:jc w:val="center"/>
              <w:spacing w:line="36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社保</w:t>
            </w:r>
            <w:r/>
          </w:p>
        </w:tc>
        <w:tc>
          <w:tcPr>
            <w:tcW w:w="130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c>
          <w:tcPr>
            <w:tcW w:w="170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909"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1290"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设备(工具)或者折旧费、耗材费</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9</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10</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11</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13</w:t>
            </w:r>
            <w:r/>
          </w:p>
        </w:tc>
        <w:tc>
          <w:tcPr>
            <w:tcW w:w="2248"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其他费用（如水电维修服务等投标人可以自行添加）</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68"/>
        </w:trPr>
        <w:tc>
          <w:tcPr>
            <w:tcW w:w="918" w:type="dxa"/>
            <w:vAlign w:val="center"/>
            <w:vMerge w:val="restart"/>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t xml:space="preserve">14</w:t>
            </w:r>
            <w:r/>
          </w:p>
        </w:tc>
        <w:tc>
          <w:tcPr>
            <w:tcW w:w="2248" w:type="dxa"/>
            <w:vAlign w:val="center"/>
            <w:vMerge w:val="restart"/>
            <w:textDirection w:val="lrTb"/>
            <w:noWrap w:val="false"/>
          </w:tcPr>
          <w:p>
            <w:pPr>
              <w:pStyle w:val="1167"/>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227" w:type="dxa"/>
            <w:vAlign w:val="center"/>
            <w:textDirection w:val="lrTb"/>
            <w:noWrap w:val="false"/>
          </w:tcPr>
          <w:p>
            <w:pPr>
              <w:pStyle w:val="1167"/>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282"/>
        </w:trPr>
        <w:tc>
          <w:tcPr>
            <w:tcW w:w="918" w:type="dxa"/>
            <w:vAlign w:val="center"/>
            <w:vMerge w:val="continue"/>
            <w:textDirection w:val="lrTb"/>
            <w:noWrap w:val="false"/>
          </w:tcPr>
          <w:p>
            <w:pPr>
              <w:pStyle w:val="1167"/>
              <w:jc w:val="center"/>
              <w:spacing w:line="360" w:lineRule="exact"/>
            </w:pPr>
            <w:r/>
            <w:r/>
          </w:p>
        </w:tc>
        <w:tc>
          <w:tcPr>
            <w:tcW w:w="2248" w:type="dxa"/>
            <w:vAlign w:val="center"/>
            <w:vMerge w:val="continue"/>
            <w:textDirection w:val="lrTb"/>
            <w:noWrap w:val="false"/>
          </w:tcPr>
          <w:p>
            <w:pPr>
              <w:pStyle w:val="1167"/>
              <w:jc w:val="center"/>
              <w:spacing w:line="360" w:lineRule="exact"/>
            </w:pPr>
            <w:r/>
            <w:r/>
          </w:p>
        </w:tc>
        <w:tc>
          <w:tcPr>
            <w:gridSpan w:val="5"/>
            <w:tcW w:w="7227" w:type="dxa"/>
            <w:vAlign w:val="center"/>
            <w:textDirection w:val="lrTb"/>
            <w:noWrap w:val="false"/>
          </w:tcPr>
          <w:p>
            <w:pPr>
              <w:pStyle w:val="1167"/>
              <w:jc w:val="center"/>
              <w:spacing w:line="360" w:lineRule="exact"/>
              <w:rPr>
                <w:rFonts w:hint="eastAsia" w:ascii="仿宋_GB2312" w:hAnsi="仿宋_GB2312"/>
                <w:sz w:val="22"/>
                <w:szCs w:val="22"/>
              </w:rPr>
            </w:pPr>
            <w:r>
              <w:rPr>
                <w:rFonts w:hint="eastAsia" w:ascii="仿宋_GB2312" w:hAnsi="仿宋_GB2312"/>
                <w:sz w:val="22"/>
                <w:szCs w:val="22"/>
              </w:rPr>
              <w:t xml:space="preserve">增值税纳税人身份：</w:t>
            </w:r>
            <w:r>
              <w:rPr>
                <w:rFonts w:hint="eastAsia" w:ascii="仿宋_GB2312" w:hAnsi="仿宋_GB2312"/>
                <w:sz w:val="22"/>
                <w:szCs w:val="22"/>
                <w:u w:val="single"/>
              </w:rPr>
              <w:t xml:space="preserve"> </w:t>
            </w:r>
            <w:r>
              <w:rPr>
                <w:rFonts w:ascii="仿宋_GB2312" w:hAnsi="仿宋_GB2312"/>
                <w:sz w:val="22"/>
                <w:szCs w:val="22"/>
                <w:u w:val="single"/>
              </w:rPr>
              <w:t xml:space="preserve">      </w:t>
            </w:r>
            <w:r>
              <w:rPr>
                <w:rFonts w:ascii="仿宋_GB2312" w:hAnsi="仿宋_GB2312"/>
                <w:sz w:val="22"/>
                <w:szCs w:val="22"/>
              </w:rPr>
              <w:t xml:space="preserve">；税率：</w:t>
            </w:r>
            <w:r>
              <w:rPr>
                <w:rFonts w:hint="eastAsia" w:ascii="仿宋_GB2312" w:hAnsi="仿宋_GB2312"/>
                <w:sz w:val="22"/>
                <w:szCs w:val="22"/>
                <w:u w:val="single"/>
              </w:rPr>
              <w:t xml:space="preserve"> </w:t>
            </w:r>
            <w:r>
              <w:rPr>
                <w:rFonts w:ascii="仿宋_GB2312" w:hAnsi="仿宋_GB2312"/>
                <w:sz w:val="22"/>
                <w:szCs w:val="22"/>
                <w:u w:val="single"/>
              </w:rPr>
              <w:t xml:space="preserve">       </w:t>
            </w:r>
            <w:r>
              <w:rPr>
                <w:rFonts w:ascii="仿宋_GB2312" w:hAnsi="仿宋_GB2312"/>
                <w:sz w:val="22"/>
                <w:szCs w:val="22"/>
              </w:rPr>
              <w:t xml:space="preserve">（</w:t>
            </w:r>
            <w:r>
              <w:rPr>
                <w:rFonts w:hint="eastAsia" w:ascii="仿宋_GB2312" w:hAnsi="仿宋_GB2312"/>
                <w:sz w:val="22"/>
                <w:szCs w:val="22"/>
              </w:rPr>
              <w:t xml:space="preserve">明确是增值税一般纳税人还是小规模纳税人并提供相关证明</w:t>
            </w:r>
            <w:r>
              <w:rPr>
                <w:rFonts w:ascii="仿宋_GB2312" w:hAnsi="仿宋_GB2312"/>
                <w:sz w:val="22"/>
                <w:szCs w:val="22"/>
              </w:rPr>
              <w:t xml:space="preserve">）</w:t>
            </w:r>
            <w:r/>
          </w:p>
        </w:tc>
      </w:tr>
      <w:tr>
        <w:trPr>
          <w:cantSplit/>
          <w:jc w:val="center"/>
          <w:trHeight w:val="553"/>
        </w:trPr>
        <w:tc>
          <w:tcPr>
            <w:tcW w:w="918" w:type="dxa"/>
            <w:vAlign w:val="center"/>
            <w:textDirection w:val="lrTb"/>
            <w:noWrap w:val="false"/>
          </w:tcPr>
          <w:p>
            <w:pPr>
              <w:pStyle w:val="1167"/>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248" w:type="dxa"/>
            <w:vAlign w:val="center"/>
            <w:textDirection w:val="lrTb"/>
            <w:noWrap w:val="false"/>
          </w:tcPr>
          <w:p>
            <w:pPr>
              <w:pStyle w:val="1167"/>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227" w:type="dxa"/>
            <w:vAlign w:val="center"/>
            <w:textDirection w:val="lrTb"/>
            <w:noWrap w:val="false"/>
          </w:tcPr>
          <w:p>
            <w:pPr>
              <w:pStyle w:val="1167"/>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166" w:type="dxa"/>
            <w:vAlign w:val="center"/>
            <w:textDirection w:val="lrTb"/>
            <w:noWrap w:val="false"/>
          </w:tcPr>
          <w:p>
            <w:pPr>
              <w:pStyle w:val="1167"/>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p>
        </w:tc>
        <w:tc>
          <w:tcPr>
            <w:gridSpan w:val="5"/>
            <w:tcW w:w="7227" w:type="dxa"/>
            <w:vAlign w:val="center"/>
            <w:textDirection w:val="lrTb"/>
            <w:noWrap w:val="false"/>
          </w:tcPr>
          <w:p>
            <w:pPr>
              <w:pStyle w:val="1167"/>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167"/>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169"/>
        <w:spacing w:line="360" w:lineRule="auto"/>
        <w:rPr>
          <w:rFonts w:eastAsia="宋体"/>
        </w:rPr>
      </w:pPr>
      <w:r>
        <w:rPr>
          <w:rFonts w:eastAsia="宋体"/>
        </w:rPr>
      </w:r>
      <w:r/>
    </w:p>
    <w:p>
      <w:pPr>
        <w:pStyle w:val="1169"/>
        <w:spacing w:line="360" w:lineRule="auto"/>
        <w:rPr>
          <w:rFonts w:eastAsia="宋体" w:cs="方正仿宋_GBK"/>
          <w:b/>
          <w:bCs/>
          <w:iCs/>
          <w:szCs w:val="28"/>
          <w:lang w:val="zh-CN"/>
        </w:rPr>
      </w:pPr>
      <w:r>
        <w:rPr>
          <w:rFonts w:hint="eastAsia" w:eastAsia="宋体"/>
        </w:rPr>
        <w:t xml:space="preserve">备注：</w:t>
      </w:r>
      <w:r>
        <w:rPr>
          <w:rFonts w:hint="eastAsia" w:eastAsia="宋体" w:cs="方正仿宋_GBK"/>
          <w:b/>
          <w:bCs/>
          <w:iCs/>
          <w:szCs w:val="28"/>
          <w:lang w:val="zh-CN"/>
        </w:rPr>
        <w:t xml:space="preserve">1、明细报价表中列明的项目不接受赠送。</w:t>
      </w:r>
      <w:r/>
    </w:p>
    <w:p>
      <w:pPr>
        <w:pStyle w:val="1169"/>
        <w:ind w:firstLine="723"/>
        <w:spacing w:line="360" w:lineRule="auto"/>
        <w:rPr>
          <w:rFonts w:eastAsia="宋体" w:cs="方正仿宋_GBK"/>
          <w:b/>
          <w:bCs/>
          <w:iCs/>
          <w:szCs w:val="28"/>
          <w:lang w:val="zh-CN"/>
        </w:rPr>
      </w:pPr>
      <w:r>
        <w:rPr>
          <w:rFonts w:hint="eastAsia" w:eastAsia="宋体" w:cs="方正仿宋_GBK"/>
          <w:b/>
          <w:bCs/>
          <w:iCs/>
          <w:szCs w:val="28"/>
        </w:rPr>
        <w:t xml:space="preserve">2、</w:t>
      </w:r>
      <w:r>
        <w:rPr>
          <w:rFonts w:hint="eastAsia" w:eastAsia="宋体" w:cs="方正仿宋_GBK"/>
          <w:b/>
          <w:bCs/>
          <w:iCs/>
          <w:szCs w:val="28"/>
          <w:lang w:val="zh-CN"/>
        </w:rPr>
        <w:t xml:space="preserve">人员工资合价=人员月工资*人员数量*月数</w:t>
      </w:r>
      <w:r/>
    </w:p>
    <w:p>
      <w:pPr>
        <w:pStyle w:val="1169"/>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169"/>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4、缴费基数≥1238.048(4952*24.9%+5)，因报价最多保留至小数点后两位，故该项最小有效数值为 1238.05元；如项目组其他人员缴费基数大于4</w:t>
      </w:r>
      <w:r>
        <w:rPr>
          <w:rFonts w:hint="eastAsia" w:eastAsia="宋体" w:cs="方正仿宋_GBK"/>
          <w:b/>
          <w:bCs/>
          <w:iCs/>
          <w:szCs w:val="28"/>
        </w:rPr>
        <w:t xml:space="preserve">952</w:t>
      </w:r>
      <w:r>
        <w:rPr>
          <w:rFonts w:hint="eastAsia" w:eastAsia="宋体" w:cs="方正仿宋_GBK"/>
          <w:b/>
          <w:bCs/>
          <w:iCs/>
          <w:szCs w:val="28"/>
          <w:lang w:val="zh-CN"/>
        </w:rPr>
        <w:t xml:space="preserve">的可自行添加，填报社保金额。</w:t>
      </w:r>
      <w:r/>
    </w:p>
    <w:p>
      <w:pPr>
        <w:pStyle w:val="1144"/>
        <w:rPr>
          <w:rFonts w:hint="eastAsia"/>
          <w:b w:val="0"/>
          <w:bCs/>
        </w:rPr>
        <w:outlineLvl w:val="1"/>
      </w:pPr>
      <w:r/>
      <w:bookmarkStart w:id="169" w:name="_Toc2747"/>
      <w:r/>
      <w:bookmarkStart w:id="170" w:name="_Toc21129"/>
      <w:r>
        <w:rPr>
          <w:rFonts w:hint="eastAsia"/>
          <w:b w:val="0"/>
          <w:bCs/>
        </w:rPr>
        <w:br w:type="page" w:clear="all"/>
      </w:r>
      <w:r>
        <w:rPr>
          <w:rFonts w:hint="eastAsia"/>
          <w:b w:val="0"/>
          <w:bCs/>
        </w:rPr>
        <w:t xml:space="preserve">五、中小企业或残疾人福利性单位声明函</w:t>
      </w:r>
      <w:bookmarkEnd w:id="168"/>
      <w:r/>
      <w:bookmarkEnd w:id="169"/>
      <w:r/>
      <w:bookmarkEnd w:id="170"/>
      <w:r/>
      <w:r/>
    </w:p>
    <w:p>
      <w:pPr>
        <w:pStyle w:val="1110"/>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110"/>
        <w:jc w:val="center"/>
        <w:rPr>
          <w:rFonts w:ascii="方正小标宋_GBK" w:eastAsia="方正小标宋_GBK"/>
          <w:bCs/>
          <w:sz w:val="32"/>
          <w:szCs w:val="32"/>
        </w:rPr>
      </w:pPr>
      <w:r>
        <w:rPr>
          <w:rFonts w:hint="eastAsia" w:ascii="方正小标宋_GBK" w:eastAsia="方正小标宋_GBK"/>
          <w:bCs/>
          <w:sz w:val="32"/>
          <w:szCs w:val="32"/>
        </w:rPr>
        <w:t xml:space="preserve">（服务类项目）</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宿迁市救助管理站</w:t>
      </w:r>
      <w:r>
        <w:rPr>
          <w:rFonts w:hint="eastAsia" w:ascii="宋体" w:hAnsi="宋体"/>
          <w:sz w:val="24"/>
          <w:szCs w:val="24"/>
        </w:rPr>
        <w:t xml:space="preserve">的</w:t>
      </w:r>
      <w:r>
        <w:rPr>
          <w:rFonts w:hint="eastAsia" w:ascii="宋体" w:hAnsi="宋体"/>
          <w:sz w:val="24"/>
          <w:szCs w:val="24"/>
          <w:u w:val="single"/>
        </w:rPr>
        <w:t xml:space="preserve">宿迁市救助管理站物业服务采购项目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jc w:val="right"/>
        <w:spacing w:line="500" w:lineRule="exact"/>
        <w:rPr>
          <w:rFonts w:hint="eastAsia" w:ascii="宋体" w:hAnsi="宋体"/>
          <w:sz w:val="24"/>
          <w:szCs w:val="24"/>
        </w:rPr>
      </w:pPr>
      <w:r>
        <w:rPr>
          <w:rFonts w:hint="eastAsia" w:ascii="宋体" w:hAnsi="宋体"/>
          <w:sz w:val="24"/>
          <w:szCs w:val="24"/>
        </w:rPr>
        <w:t xml:space="preserve">企业名称（加盖CA电子公章）：</w:t>
      </w:r>
      <w:r/>
    </w:p>
    <w:p>
      <w:pPr>
        <w:ind w:firstLine="6960"/>
        <w:spacing w:line="5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sz w:val="22"/>
          <w:szCs w:val="21"/>
        </w:rPr>
      </w:pPr>
      <w:r>
        <w:rPr>
          <w:rFonts w:ascii="Times New Roman" w:hAnsi="Times New Roman"/>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sz w:val="24"/>
          <w:szCs w:val="24"/>
        </w:rPr>
        <w:t xml:space="preserve">投标人</w:t>
      </w:r>
      <w:r>
        <w:rPr>
          <w:rFonts w:ascii="Times New Roman" w:hAnsi="Times New Roman"/>
          <w:sz w:val="24"/>
          <w:szCs w:val="24"/>
        </w:rPr>
        <w:t xml:space="preserve">自行勾选承接企业的企业规模类型。</w:t>
      </w:r>
      <w:r/>
    </w:p>
    <w:p>
      <w:pPr>
        <w:pStyle w:val="1126"/>
        <w:spacing w:before="151" w:after="151" w:line="600" w:lineRule="exact"/>
        <w:rPr>
          <w:rFonts w:ascii="宋体"/>
          <w:b/>
          <w:bCs/>
          <w:sz w:val="32"/>
          <w:szCs w:val="32"/>
        </w:rPr>
      </w:pPr>
      <w:r>
        <w:rPr>
          <w:rFonts w:ascii="宋体"/>
          <w:b/>
          <w:bCs/>
          <w:sz w:val="32"/>
          <w:szCs w:val="32"/>
        </w:rPr>
      </w:r>
      <w:r>
        <w:rPr>
          <w:rFonts w:ascii="宋体"/>
          <w:b/>
          <w:bCs/>
          <w:sz w:val="32"/>
          <w:szCs w:val="32"/>
        </w:rPr>
      </w:r>
      <w:r/>
    </w:p>
    <w:p>
      <w:pPr>
        <w:pStyle w:val="1126"/>
        <w:spacing w:before="151" w:after="151" w:line="600" w:lineRule="exact"/>
        <w:rPr>
          <w:rFonts w:ascii="宋体"/>
          <w:b/>
          <w:bCs/>
          <w:sz w:val="32"/>
          <w:szCs w:val="32"/>
        </w:rPr>
      </w:pPr>
      <w:r>
        <w:rPr>
          <w:rFonts w:ascii="宋体"/>
          <w:b/>
          <w:bCs/>
          <w:sz w:val="32"/>
          <w:szCs w:val="32"/>
        </w:rPr>
      </w:r>
      <w:r/>
    </w:p>
    <w:p>
      <w:pPr>
        <w:pStyle w:val="1110"/>
        <w:jc w:val="center"/>
        <w:rPr>
          <w:rFonts w:ascii="方正小标宋_GBK" w:eastAsia="方正小标宋_GBK"/>
          <w:bCs/>
          <w:sz w:val="32"/>
          <w:szCs w:val="32"/>
        </w:rPr>
      </w:pPr>
      <w:r>
        <w:rPr>
          <w:rFonts w:hint="eastAsia" w:ascii="方正小标宋_GBK" w:eastAsia="方正小标宋_GBK"/>
          <w:bCs/>
          <w:sz w:val="32"/>
          <w:szCs w:val="32"/>
        </w:rPr>
        <w:t xml:space="preserve">残疾人福利性单位声明函</w:t>
      </w:r>
      <w:r/>
    </w:p>
    <w:p>
      <w:pPr>
        <w:pStyle w:val="1128"/>
        <w:spacing w:line="588" w:lineRule="exact"/>
        <w:rPr>
          <w:rFonts w:ascii="仿宋_GB2312" w:eastAsia="仿宋_GB2312"/>
          <w:b/>
          <w:spacing w:val="6"/>
          <w:sz w:val="30"/>
          <w:szCs w:val="30"/>
        </w:rPr>
      </w:pPr>
      <w:r>
        <w:rPr>
          <w:rFonts w:ascii="仿宋_GB2312" w:eastAsia="仿宋_GB2312"/>
          <w:b/>
          <w:spacing w:val="6"/>
          <w:sz w:val="30"/>
          <w:szCs w:val="30"/>
        </w:rPr>
      </w:r>
      <w:r/>
    </w:p>
    <w:p>
      <w:pPr>
        <w:pStyle w:val="1127"/>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宿迁市救助管理站</w:t>
      </w:r>
      <w:r>
        <w:rPr>
          <w:rFonts w:hint="eastAsia" w:ascii="Times New Roman" w:hAnsi="Times New Roman"/>
          <w:sz w:val="24"/>
        </w:rPr>
        <w:t xml:space="preserve">的</w:t>
      </w:r>
      <w:r>
        <w:rPr>
          <w:rFonts w:hint="eastAsia" w:ascii="Times New Roman" w:hAnsi="Times New Roman"/>
          <w:sz w:val="24"/>
          <w:u w:val="single"/>
        </w:rPr>
        <w:t xml:space="preserve">宿迁市救助管理站物业服务采购项目</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127"/>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129"/>
        <w:ind w:firstLine="3810"/>
        <w:spacing w:line="500" w:lineRule="exact"/>
        <w:rPr>
          <w:spacing w:val="6"/>
          <w:sz w:val="24"/>
          <w:szCs w:val="24"/>
        </w:rPr>
      </w:pPr>
      <w:r>
        <w:rPr>
          <w:spacing w:val="6"/>
          <w:sz w:val="24"/>
          <w:szCs w:val="24"/>
        </w:rPr>
      </w:r>
      <w:r/>
    </w:p>
    <w:p>
      <w:pPr>
        <w:pStyle w:val="1129"/>
        <w:ind w:firstLine="3629"/>
        <w:jc w:val="left"/>
        <w:spacing w:line="500" w:lineRule="exact"/>
        <w:rPr>
          <w:sz w:val="24"/>
        </w:rPr>
      </w:pPr>
      <w:r>
        <w:rPr>
          <w:sz w:val="24"/>
        </w:rPr>
      </w:r>
      <w:r/>
    </w:p>
    <w:p>
      <w:pPr>
        <w:pStyle w:val="1129"/>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126"/>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128"/>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130"/>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127"/>
        <w:ind w:firstLine="442"/>
        <w:spacing w:line="480" w:lineRule="exact"/>
        <w:rPr>
          <w:rFonts w:ascii="Times New Roman" w:hAnsi="Times New Roman"/>
          <w:sz w:val="24"/>
          <w:szCs w:val="24"/>
        </w:rPr>
      </w:pPr>
      <w:r>
        <w:rPr>
          <w:rFonts w:hint="eastAsia" w:ascii="Times New Roman" w:hAnsi="Times New Roman"/>
          <w:sz w:val="24"/>
          <w:szCs w:val="24"/>
        </w:rPr>
        <w:t xml:space="preserve">备注：非残疾人福利性单位不需提供此函。</w:t>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ind w:firstLine="442"/>
        <w:spacing w:line="480" w:lineRule="exact"/>
        <w:rPr>
          <w:rFonts w:ascii="Times New Roman" w:hAnsi="Times New Roman"/>
          <w:sz w:val="24"/>
          <w:szCs w:val="24"/>
        </w:rPr>
      </w:pPr>
      <w:r>
        <w:rPr>
          <w:rFonts w:ascii="Times New Roman" w:hAnsi="Times New Roman"/>
          <w:sz w:val="24"/>
          <w:szCs w:val="24"/>
        </w:rPr>
      </w:r>
      <w:r/>
    </w:p>
    <w:p>
      <w:pPr>
        <w:pStyle w:val="1127"/>
        <w:spacing w:line="480" w:lineRule="exact"/>
        <w:rPr>
          <w:rFonts w:ascii="Times New Roman" w:hAnsi="Times New Roman"/>
          <w:sz w:val="24"/>
          <w:szCs w:val="24"/>
        </w:rPr>
      </w:pPr>
      <w:r>
        <w:rPr>
          <w:rFonts w:ascii="Times New Roman" w:hAnsi="Times New Roman"/>
          <w:sz w:val="24"/>
          <w:szCs w:val="24"/>
        </w:rPr>
      </w:r>
      <w:r/>
    </w:p>
    <w:p>
      <w:pPr>
        <w:pStyle w:val="1127"/>
        <w:spacing w:line="480" w:lineRule="exact"/>
        <w:rPr>
          <w:rFonts w:ascii="Times New Roman" w:hAnsi="Times New Roman"/>
          <w:sz w:val="24"/>
          <w:szCs w:val="24"/>
        </w:rPr>
      </w:pPr>
      <w:r>
        <w:rPr>
          <w:rFonts w:ascii="Times New Roman" w:hAnsi="Times New Roman"/>
          <w:sz w:val="24"/>
          <w:szCs w:val="24"/>
        </w:rPr>
      </w:r>
      <w:r/>
    </w:p>
    <w:p>
      <w:pPr>
        <w:ind w:firstLine="210"/>
        <w:rPr>
          <w:rFonts w:hint="eastAsia" w:ascii="仿宋" w:hAnsi="仿宋" w:eastAsia="仿宋" w:cs="仿宋"/>
          <w:szCs w:val="21"/>
        </w:rPr>
      </w:pPr>
      <w:r/>
      <w:bookmarkStart w:id="171" w:name="_Toc15871"/>
      <w:r/>
      <w:bookmarkStart w:id="172" w:name="_Toc25337"/>
      <w:r/>
      <w:r/>
    </w:p>
    <w:p>
      <w:pPr>
        <w:ind w:firstLine="210"/>
        <w:rPr>
          <w:rFonts w:hint="eastAsia" w:ascii="仿宋" w:hAnsi="仿宋" w:eastAsia="仿宋" w:cs="仿宋"/>
          <w:szCs w:val="21"/>
        </w:rPr>
      </w:pPr>
      <w:r>
        <w:rPr>
          <w:rFonts w:hint="eastAsia" w:ascii="仿宋" w:hAnsi="仿宋" w:eastAsia="仿宋" w:cs="仿宋"/>
          <w:szCs w:val="21"/>
        </w:rPr>
      </w:r>
      <w:r/>
    </w:p>
    <w:p>
      <w:pPr>
        <w:pStyle w:val="1144"/>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六、项目组人员</w:t>
      </w:r>
      <w:r/>
    </w:p>
    <w:tbl>
      <w:tblPr>
        <w:tblStyle w:val="809"/>
        <w:tblpPr w:horzAnchor="margin" w:tblpXSpec="center" w:vertAnchor="text" w:tblpY="74" w:leftFromText="180" w:topFromText="0" w:rightFromText="180" w:bottomFromText="0"/>
        <w:tblW w:w="94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W w:w="1188"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姓名</w:t>
            </w:r>
            <w:r/>
          </w:p>
        </w:tc>
        <w:tc>
          <w:tcPr>
            <w:tcW w:w="1800"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本项目</w:t>
            </w:r>
            <w:r/>
          </w:p>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拟任职务</w:t>
            </w:r>
            <w:r/>
          </w:p>
        </w:tc>
        <w:tc>
          <w:tcPr>
            <w:tcW w:w="1080"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学历</w:t>
            </w:r>
            <w:r/>
          </w:p>
        </w:tc>
        <w:tc>
          <w:tcPr>
            <w:tcW w:w="1363"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证书</w:t>
            </w:r>
            <w:r/>
          </w:p>
        </w:tc>
        <w:tc>
          <w:tcPr>
            <w:tcW w:w="1517"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身份证号</w:t>
            </w:r>
            <w:r/>
          </w:p>
        </w:tc>
        <w:tc>
          <w:tcPr>
            <w:tcW w:w="1458"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联系电话</w:t>
            </w:r>
            <w:r/>
          </w:p>
        </w:tc>
        <w:tc>
          <w:tcPr>
            <w:tcW w:w="995" w:type="dxa"/>
            <w:vAlign w:val="center"/>
            <w:textDirection w:val="lrTb"/>
            <w:noWrap w:val="false"/>
          </w:tcPr>
          <w:p>
            <w:pPr>
              <w:pStyle w:val="1149"/>
              <w:jc w:val="center"/>
              <w:spacing w:before="100" w:beforeAutospacing="1" w:line="560" w:lineRule="exact"/>
              <w:widowControl/>
              <w:rPr>
                <w:rFonts w:hint="eastAsia" w:ascii="仿宋" w:hAnsi="仿宋" w:eastAsia="仿宋" w:cs="仿宋"/>
                <w:sz w:val="24"/>
              </w:rPr>
            </w:pPr>
            <w:r>
              <w:rPr>
                <w:rFonts w:hint="eastAsia" w:ascii="仿宋" w:hAnsi="仿宋" w:eastAsia="仿宋" w:cs="仿宋"/>
                <w:sz w:val="24"/>
              </w:rPr>
              <w:t xml:space="preserve">备注</w:t>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r>
        <w:trPr>
          <w:trHeight w:val="729"/>
        </w:trPr>
        <w:tc>
          <w:tcPr>
            <w:tcW w:w="118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80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363"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1458"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c>
          <w:tcPr>
            <w:tcW w:w="995" w:type="dxa"/>
            <w:vAlign w:val="center"/>
            <w:textDirection w:val="lrTb"/>
            <w:noWrap w:val="false"/>
          </w:tcPr>
          <w:p>
            <w:pPr>
              <w:pStyle w:val="1149"/>
              <w:jc w:val="center"/>
              <w:spacing w:line="560" w:lineRule="exact"/>
              <w:rPr>
                <w:rFonts w:hint="eastAsia" w:ascii="仿宋" w:hAnsi="仿宋" w:eastAsia="仿宋" w:cs="仿宋"/>
                <w:sz w:val="24"/>
              </w:rPr>
            </w:pPr>
            <w:r>
              <w:rPr>
                <w:rFonts w:hint="eastAsia" w:ascii="仿宋" w:hAnsi="仿宋" w:eastAsia="仿宋" w:cs="仿宋"/>
                <w:sz w:val="24"/>
              </w:rPr>
            </w:r>
            <w:r/>
          </w:p>
        </w:tc>
      </w:tr>
    </w:tbl>
    <w:p>
      <w:pPr>
        <w:pStyle w:val="1149"/>
        <w:ind w:firstLine="241"/>
        <w:spacing w:line="460" w:lineRule="exact"/>
        <w:rPr>
          <w:rFonts w:cs="方正仿宋_GBK"/>
          <w:b/>
          <w:color w:val="000000"/>
          <w:sz w:val="24"/>
        </w:rPr>
      </w:pPr>
      <w:r>
        <w:rPr>
          <w:rFonts w:hint="eastAsia" w:cs="方正仿宋_GBK"/>
          <w:b/>
          <w:sz w:val="24"/>
        </w:rPr>
        <w:t xml:space="preserve">注：1、评分标准中涉及的项目组人员均可在本表中填报，相关证明资料附后，</w:t>
      </w:r>
      <w:r>
        <w:rPr>
          <w:rFonts w:hint="eastAsia" w:cs="方正仿宋_GBK"/>
          <w:b/>
          <w:color w:val="000000"/>
          <w:sz w:val="24"/>
        </w:rPr>
        <w:t xml:space="preserve">其他人员无需在本表中明确，中标后按采购需求要求进行配备，合同签订前报采购单位备案同意即可;</w:t>
      </w:r>
      <w:r/>
    </w:p>
    <w:p>
      <w:pPr>
        <w:pStyle w:val="1149"/>
        <w:ind w:firstLine="241"/>
        <w:spacing w:line="460" w:lineRule="exact"/>
        <w:rPr>
          <w:rFonts w:cs="方正仿宋_GBK"/>
          <w:b/>
          <w:sz w:val="24"/>
        </w:rPr>
      </w:pPr>
      <w:r>
        <w:rPr>
          <w:rFonts w:hint="eastAsia" w:cs="方正仿宋_GBK"/>
          <w:b/>
          <w:sz w:val="24"/>
        </w:rPr>
        <w:t xml:space="preserve">2、如投标人中标，项目组人员必须按本表中承诺人员操作，不得随意更换。</w:t>
      </w:r>
      <w:r/>
    </w:p>
    <w:p>
      <w:pPr>
        <w:pStyle w:val="1144"/>
        <w:ind w:left="210"/>
        <w:rPr>
          <w:rFonts w:hint="eastAsia" w:ascii="宋体"/>
          <w:b w:val="0"/>
          <w:szCs w:val="32"/>
        </w:rPr>
        <w:outlineLvl w:val="1"/>
      </w:pPr>
      <w:r>
        <w:rPr>
          <w:rFonts w:hint="eastAsia" w:ascii="Times New Roman" w:hAnsi="Times New Roman" w:eastAsia="宋体" w:cs="Times New Roman"/>
          <w:color w:val="000000"/>
          <w:sz w:val="24"/>
        </w:rPr>
        <w:t xml:space="preserve">3</w:t>
      </w:r>
      <w:r>
        <w:rPr>
          <w:rFonts w:ascii="Times New Roman" w:hAnsi="Times New Roman" w:eastAsia="宋体" w:cs="Times New Roman"/>
          <w:color w:val="000000"/>
          <w:sz w:val="24"/>
        </w:rPr>
        <w:t xml:space="preserve">、涉及评分标准的项目组人员在本表中填报，相关证明材料附后。</w:t>
      </w:r>
      <w:r>
        <w:rPr>
          <w:rFonts w:hint="eastAsia" w:ascii="宋体" w:hAnsi="宋体" w:eastAsia="宋体" w:cs="宋体"/>
          <w:color w:val="000000"/>
          <w:sz w:val="24"/>
        </w:rPr>
        <w:t xml:space="preserve">中标后，本表（身份证号信息除外）将随中标结果进行公开</w:t>
      </w:r>
      <w:r>
        <w:rPr>
          <w:rFonts w:ascii="Times New Roman" w:hAnsi="Times New Roman" w:eastAsia="宋体" w:cs="Times New Roman"/>
          <w:color w:val="000000"/>
          <w:sz w:val="24"/>
        </w:rPr>
        <w:t xml:space="preserve">。</w:t>
      </w:r>
      <w:r>
        <w:rPr>
          <w:rFonts w:hint="eastAsia" w:ascii="宋体"/>
          <w:b w:val="0"/>
          <w:szCs w:val="32"/>
        </w:rPr>
        <w:br w:type="page" w:clear="all"/>
      </w:r>
      <w:r>
        <w:rPr>
          <w:rFonts w:hint="eastAsia" w:ascii="宋体"/>
          <w:b w:val="0"/>
          <w:szCs w:val="32"/>
        </w:rPr>
        <w:t xml:space="preserve">七、企业业绩</w:t>
      </w:r>
      <w:bookmarkEnd w:id="171"/>
      <w:r/>
      <w:bookmarkEnd w:id="172"/>
      <w:r/>
      <w:r/>
    </w:p>
    <w:p>
      <w:pPr>
        <w:pStyle w:val="1152"/>
        <w:jc w:val="center"/>
        <w:rPr>
          <w:rFonts w:ascii="方正小标宋_GBK" w:eastAsia="方正小标宋_GBK"/>
          <w:bCs/>
          <w:sz w:val="32"/>
          <w:szCs w:val="32"/>
        </w:rPr>
      </w:pPr>
      <w:r/>
      <w:bookmarkStart w:id="173" w:name="_Hlk187935031"/>
      <w:r>
        <w:rPr>
          <w:rFonts w:hint="eastAsia" w:ascii="方正小标宋_GBK" w:eastAsia="方正小标宋_GBK"/>
          <w:bCs/>
          <w:sz w:val="32"/>
          <w:szCs w:val="32"/>
        </w:rPr>
        <w:t xml:space="preserve">类似项目业绩一览表</w:t>
      </w:r>
      <w:bookmarkEnd w:id="173"/>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4"/>
        <w:gridCol w:w="3119"/>
        <w:gridCol w:w="1134"/>
        <w:gridCol w:w="1276"/>
        <w:gridCol w:w="1275"/>
        <w:gridCol w:w="1096"/>
      </w:tblGrid>
      <w:tr>
        <w:trPr>
          <w:jc w:val="center"/>
          <w:trHeight w:val="753"/>
        </w:trPr>
        <w:tc>
          <w:tcPr>
            <w:tcW w:w="984" w:type="dxa"/>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119" w:type="dxa"/>
            <w:vAlign w:val="center"/>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1134" w:type="dxa"/>
            <w:vAlign w:val="center"/>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276" w:type="dxa"/>
            <w:vAlign w:val="center"/>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合同签订时间</w:t>
            </w:r>
            <w:r/>
          </w:p>
        </w:tc>
        <w:tc>
          <w:tcPr>
            <w:tcW w:w="1275" w:type="dxa"/>
            <w:vAlign w:val="center"/>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服务主要内容</w:t>
            </w:r>
            <w:r/>
          </w:p>
        </w:tc>
        <w:tc>
          <w:tcPr>
            <w:tcW w:w="1096" w:type="dxa"/>
            <w:vAlign w:val="center"/>
            <w:textDirection w:val="lrTb"/>
            <w:noWrap w:val="false"/>
          </w:tcPr>
          <w:p>
            <w:pPr>
              <w:pStyle w:val="1153"/>
              <w:jc w:val="center"/>
              <w:spacing w:line="560" w:lineRule="exact"/>
              <w:rPr>
                <w:rFonts w:ascii="仿宋_GB2312" w:eastAsia="仿宋_GB2312"/>
                <w:sz w:val="28"/>
                <w:szCs w:val="28"/>
              </w:rPr>
            </w:pPr>
            <w:r>
              <w:rPr>
                <w:rFonts w:hint="eastAsia" w:ascii="仿宋_GB2312" w:eastAsia="仿宋_GB2312"/>
                <w:sz w:val="28"/>
                <w:szCs w:val="28"/>
              </w:rPr>
              <w:t xml:space="preserve">履约评价情况</w:t>
            </w:r>
            <w:r/>
          </w:p>
        </w:tc>
      </w:tr>
      <w:tr>
        <w:trPr>
          <w:jc w:val="center"/>
          <w:trHeight w:val="1510"/>
        </w:trPr>
        <w:tc>
          <w:tcPr>
            <w:tcW w:w="984" w:type="dxa"/>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3119"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5"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09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984" w:type="dxa"/>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3119"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5"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09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984" w:type="dxa"/>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3119"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5"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09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984" w:type="dxa"/>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3119"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275"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c>
          <w:tcPr>
            <w:tcW w:w="1096" w:type="dxa"/>
            <w:vAlign w:val="center"/>
            <w:textDirection w:val="lrTb"/>
            <w:noWrap w:val="false"/>
          </w:tcPr>
          <w:p>
            <w:pPr>
              <w:pStyle w:val="1153"/>
              <w:jc w:val="center"/>
              <w:spacing w:line="560" w:lineRule="exact"/>
              <w:rPr>
                <w:rFonts w:ascii="仿宋_GB2312" w:eastAsia="仿宋_GB2312"/>
                <w:sz w:val="28"/>
              </w:rPr>
            </w:pPr>
            <w:r>
              <w:rPr>
                <w:rFonts w:ascii="仿宋_GB2312" w:eastAsia="仿宋_GB2312"/>
                <w:sz w:val="28"/>
              </w:rPr>
            </w:r>
            <w:r/>
          </w:p>
        </w:tc>
      </w:tr>
    </w:tbl>
    <w:p>
      <w:pPr>
        <w:pStyle w:val="1152"/>
        <w:rPr>
          <w:rFonts w:hint="eastAsia" w:ascii="宋体" w:hAnsi="宋体"/>
          <w:b/>
        </w:rPr>
      </w:pPr>
      <w:r>
        <w:rPr>
          <w:rFonts w:hint="eastAsia" w:ascii="宋体" w:hAnsi="宋体"/>
          <w:b/>
          <w:sz w:val="24"/>
        </w:rPr>
        <w:t xml:space="preserve">注：1、请填写此表，并按要求上传业绩资料电子件。</w:t>
      </w:r>
      <w:r/>
    </w:p>
    <w:p>
      <w:pPr>
        <w:pStyle w:val="1142"/>
        <w:rPr>
          <w:rFonts w:hint="eastAsia" w:ascii="宋体" w:hAnsi="宋体" w:eastAsia="宋体" w:cs="宋体"/>
        </w:rPr>
        <w:outlineLvl w:val="1"/>
      </w:pPr>
      <w:r>
        <w:rPr>
          <w:rFonts w:hint="eastAsia" w:ascii="宋体" w:hAnsi="宋体" w:eastAsia="宋体" w:cs="Times New Roman"/>
          <w:sz w:val="24"/>
          <w:szCs w:val="22"/>
        </w:rPr>
        <w:t xml:space="preserve">2、涉及评分标准的“企业业绩”在本表中填报，相关证明材料附后。中标后，本表将随中标结果进行公开。</w:t>
      </w:r>
      <w:r>
        <w:rPr>
          <w:rFonts w:hint="eastAsia" w:ascii="宋体" w:hAnsi="宋体" w:eastAsia="宋体" w:cs="Times New Roman"/>
          <w:sz w:val="24"/>
          <w:szCs w:val="22"/>
        </w:rPr>
        <w:br w:type="page" w:clear="all"/>
      </w:r>
      <w:bookmarkStart w:id="174" w:name="_Toc256000030"/>
      <w:r>
        <w:rPr>
          <w:rFonts w:hint="eastAsia" w:ascii="宋体" w:hAnsi="宋体"/>
          <w:bCs/>
        </w:rPr>
        <w:t xml:space="preserve">八</w:t>
      </w:r>
      <w:r>
        <w:rPr>
          <w:rFonts w:hint="eastAsia" w:ascii="宋体" w:hAnsi="宋体" w:eastAsia="宋体" w:cs="宋体"/>
        </w:rPr>
        <w:t xml:space="preserve">、</w:t>
      </w:r>
      <w:bookmarkEnd w:id="174"/>
      <w:r>
        <w:rPr>
          <w:rFonts w:hint="eastAsia" w:ascii="宋体" w:hAnsi="宋体" w:eastAsia="宋体" w:cs="宋体"/>
        </w:rPr>
        <w:t xml:space="preserve">人员配备要求承诺函</w:t>
      </w:r>
      <w:r/>
    </w:p>
    <w:p>
      <w:pPr>
        <w:pStyle w:val="1173"/>
        <w:jc w:val="center"/>
        <w:rPr>
          <w:rFonts w:hint="eastAsia" w:ascii="宋体" w:hAnsi="宋体" w:cs="宋体"/>
          <w:b/>
          <w:sz w:val="30"/>
          <w:szCs w:val="30"/>
        </w:rPr>
      </w:pPr>
      <w:r>
        <w:rPr>
          <w:rFonts w:hint="eastAsia" w:ascii="宋体" w:hAnsi="宋体" w:cs="宋体"/>
          <w:b/>
          <w:sz w:val="30"/>
          <w:szCs w:val="30"/>
        </w:rPr>
      </w:r>
      <w:r/>
    </w:p>
    <w:p>
      <w:pPr>
        <w:pStyle w:val="1173"/>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173"/>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173"/>
        <w:spacing w:before="10" w:after="10" w:line="600" w:lineRule="exact"/>
        <w:rPr>
          <w:rFonts w:hint="eastAsia" w:ascii="宋体" w:hAnsi="宋体" w:cs="宋体"/>
          <w:sz w:val="28"/>
          <w:szCs w:val="28"/>
          <w:u w:val="single"/>
        </w:rPr>
      </w:pPr>
      <w:r>
        <w:rPr>
          <w:rFonts w:hint="eastAsia" w:ascii="宋体" w:hAnsi="宋体" w:cs="宋体"/>
          <w:sz w:val="28"/>
          <w:szCs w:val="28"/>
          <w:u w:val="single"/>
        </w:rPr>
        <w:t xml:space="preserve">宿迁市救助管理站：</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color w:val="000000"/>
          <w:sz w:val="28"/>
          <w:u w:val="single"/>
          <w:lang w:eastAsia="zh-CN"/>
        </w:rPr>
        <w:t xml:space="preserve">JSZC-321300-JZCG-G2025-0097</w:t>
      </w:r>
      <w:r>
        <w:rPr>
          <w:rFonts w:hint="eastAsia" w:ascii="宋体" w:hAnsi="宋体" w:cs="宋体"/>
          <w:color w:val="000000"/>
          <w:sz w:val="28"/>
        </w:rPr>
        <w:t xml:space="preserve">号</w:t>
      </w:r>
      <w:r>
        <w:rPr>
          <w:rFonts w:hint="eastAsia" w:ascii="宋体" w:hAnsi="宋体" w:cs="宋体"/>
          <w:color w:val="000000"/>
          <w:sz w:val="28"/>
          <w:u w:val="single"/>
        </w:rPr>
        <w:t xml:space="preserve">宿迁市救助管理站物业服务采购项目</w:t>
      </w:r>
      <w:r>
        <w:rPr>
          <w:rFonts w:hint="eastAsia" w:ascii="宋体" w:hAnsi="宋体" w:cs="宋体"/>
          <w:sz w:val="28"/>
          <w:szCs w:val="28"/>
        </w:rPr>
        <w:t xml:space="preserve">招标文件相关要求，承诺如下：针对“第四章 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174"/>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74"/>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174"/>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174"/>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172"/>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2"/>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2"/>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2"/>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2"/>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174"/>
        <w:spacing w:after="200" w:line="500" w:lineRule="exact"/>
        <w:rPr>
          <w:rFonts w:hint="eastAsia" w:ascii="宋体" w:hAnsi="宋体" w:cs="宋体"/>
          <w:sz w:val="28"/>
          <w:szCs w:val="28"/>
        </w:rPr>
      </w:pPr>
      <w:r>
        <w:rPr>
          <w:rFonts w:hint="eastAsia" w:ascii="宋体" w:hAnsi="宋体" w:cs="宋体"/>
          <w:sz w:val="28"/>
          <w:szCs w:val="28"/>
        </w:rPr>
      </w:r>
      <w:r/>
    </w:p>
    <w:p>
      <w:pPr>
        <w:pStyle w:val="1142"/>
        <w:rPr>
          <w:rFonts w:hint="eastAsia" w:ascii="宋体" w:hAnsi="宋体" w:eastAsia="宋体" w:cs="宋体"/>
        </w:rPr>
        <w:outlineLvl w:val="1"/>
      </w:pPr>
      <w:r>
        <w:rPr>
          <w:rFonts w:hint="eastAsia" w:ascii="宋体" w:hAnsi="宋体" w:eastAsia="宋体" w:cs="宋体"/>
        </w:rPr>
        <w:br w:type="page" w:clear="all"/>
      </w:r>
      <w:r>
        <w:rPr>
          <w:rFonts w:hint="eastAsia" w:ascii="宋体" w:hAnsi="宋体" w:eastAsia="宋体" w:cs="宋体"/>
        </w:rPr>
        <w:t xml:space="preserve">九</w:t>
      </w:r>
      <w:r>
        <w:rPr>
          <w:rFonts w:hint="eastAsia" w:ascii="宋体" w:hAnsi="宋体"/>
          <w:b w:val="0"/>
        </w:rPr>
        <w:t xml:space="preserve">、服务要求承诺（一）及相关服务方案</w:t>
      </w:r>
      <w:r/>
    </w:p>
    <w:p>
      <w:pPr>
        <w:pStyle w:val="1172"/>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173"/>
        <w:spacing w:before="10" w:after="10" w:line="600" w:lineRule="exact"/>
        <w:rPr>
          <w:rFonts w:hint="eastAsia" w:ascii="宋体" w:hAnsi="宋体" w:cs="宋体"/>
          <w:sz w:val="28"/>
          <w:szCs w:val="28"/>
          <w:u w:val="single"/>
        </w:rPr>
      </w:pPr>
      <w:r>
        <w:rPr>
          <w:rFonts w:hint="eastAsia" w:ascii="宋体" w:hAnsi="宋体" w:cs="宋体"/>
          <w:sz w:val="28"/>
          <w:szCs w:val="28"/>
          <w:u w:val="single"/>
        </w:rPr>
        <w:t xml:space="preserve">宿迁市救助管理站：</w:t>
      </w:r>
      <w:r/>
    </w:p>
    <w:p>
      <w:pPr>
        <w:pStyle w:val="1278"/>
        <w:ind w:firstLine="480"/>
        <w:spacing w:after="195" w:line="435" w:lineRule="atLeast"/>
        <w:rPr>
          <w:rFonts w:hint="eastAsia"/>
          <w:sz w:val="20"/>
        </w:rPr>
      </w:pPr>
      <w:r>
        <w:rPr>
          <w:rFonts w:hint="eastAsia"/>
          <w:sz w:val="28"/>
          <w:szCs w:val="28"/>
        </w:rPr>
        <w:t xml:space="preserve">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JSZC-321300-JZCG-G2025-0097</w:t>
      </w:r>
      <w:r>
        <w:rPr>
          <w:rFonts w:hint="eastAsia"/>
          <w:color w:val="000000"/>
          <w:sz w:val="28"/>
        </w:rPr>
        <w:t xml:space="preserve">号</w:t>
      </w:r>
      <w:r>
        <w:rPr>
          <w:rFonts w:hint="eastAsia"/>
          <w:color w:val="000000"/>
          <w:sz w:val="28"/>
          <w:u w:val="single"/>
        </w:rPr>
        <w:t xml:space="preserve">宿迁市救助管理站物业服务采购项目</w:t>
      </w:r>
      <w:r>
        <w:rPr>
          <w:rFonts w:hint="eastAsia"/>
          <w:color w:val="000000"/>
          <w:sz w:val="28"/>
        </w:rPr>
        <w:t xml:space="preserve">招标文件相关要求，承诺如下：完全响应本项目采购需求“第四章 采购需求-三、物业管理服务内容及标准-3.1基本服务、3.2房屋维护服务、3.3公用设施设备维护服务”，如我单位中标，将按照响应内容进行履约。如我单位投标文件的响应方案优于采购需求，将按投标文件履约。</w:t>
      </w:r>
      <w:r/>
    </w:p>
    <w:p>
      <w:pPr>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142"/>
        <w:rPr>
          <w:rFonts w:hint="eastAsia" w:ascii="宋体" w:hAnsi="宋体" w:eastAsia="宋体" w:cs="宋体"/>
        </w:rPr>
        <w:outlineLvl w:val="1"/>
      </w:pPr>
      <w:r>
        <w:rPr>
          <w:rFonts w:hint="eastAsia" w:ascii="宋体" w:hAnsi="宋体" w:eastAsia="宋体" w:cs="宋体"/>
        </w:rPr>
        <w:t xml:space="preserve">十、服务要求承诺（二）及相关服务方案</w:t>
      </w:r>
      <w:r/>
    </w:p>
    <w:p>
      <w:pPr>
        <w:pStyle w:val="1172"/>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173"/>
        <w:spacing w:before="10" w:after="10" w:line="600" w:lineRule="exact"/>
        <w:rPr>
          <w:rFonts w:hint="eastAsia" w:ascii="宋体" w:hAnsi="宋体" w:cs="宋体"/>
          <w:sz w:val="28"/>
          <w:szCs w:val="28"/>
          <w:u w:val="single"/>
        </w:rPr>
      </w:pPr>
      <w:r>
        <w:rPr>
          <w:rFonts w:hint="eastAsia" w:ascii="宋体" w:hAnsi="宋体" w:cs="宋体"/>
          <w:sz w:val="28"/>
          <w:szCs w:val="28"/>
          <w:u w:val="single"/>
        </w:rPr>
        <w:t xml:space="preserve">宿迁市救助管理站：</w:t>
      </w:r>
      <w:r/>
    </w:p>
    <w:p>
      <w:pPr>
        <w:pStyle w:val="1278"/>
        <w:ind w:firstLine="480"/>
        <w:spacing w:after="195" w:line="435" w:lineRule="atLeast"/>
        <w:rPr>
          <w:rFonts w:hint="eastAsia"/>
          <w:sz w:val="28"/>
          <w:szCs w:val="28"/>
        </w:rPr>
      </w:pPr>
      <w:r>
        <w:rPr>
          <w:rFonts w:hint="eastAsia"/>
          <w:sz w:val="28"/>
          <w:szCs w:val="28"/>
        </w:rPr>
        <w:t xml:space="preserve">根据</w:t>
      </w:r>
      <w:r>
        <w:rPr>
          <w:rFonts w:hint="eastAsia" w:ascii="宋体" w:hAnsi="宋体" w:cs="宋体"/>
          <w:sz w:val="24"/>
          <w:szCs w:val="24"/>
          <w:u w:val="single"/>
        </w:rPr>
        <w:t xml:space="preserve"> </w:t>
      </w:r>
      <w:r>
        <w:rPr>
          <w:rFonts w:hint="eastAsia" w:ascii="宋体" w:hAnsi="宋体" w:cs="宋体"/>
          <w:color w:val="000000"/>
          <w:sz w:val="28"/>
          <w:u w:val="single"/>
          <w:lang w:eastAsia="zh-CN"/>
        </w:rPr>
        <w:t xml:space="preserve">JSZC-321300-JZCG-G2025-0097</w:t>
      </w:r>
      <w:r>
        <w:rPr>
          <w:rFonts w:hint="eastAsia"/>
          <w:color w:val="000000"/>
          <w:sz w:val="28"/>
        </w:rPr>
        <w:t xml:space="preserve">号</w:t>
      </w:r>
      <w:r>
        <w:rPr>
          <w:rFonts w:hint="eastAsia"/>
          <w:color w:val="000000"/>
          <w:sz w:val="28"/>
          <w:u w:val="single"/>
        </w:rPr>
        <w:t xml:space="preserve">宿迁市救助管理站物业服务采购项目</w:t>
      </w:r>
      <w:r>
        <w:rPr>
          <w:rFonts w:hint="eastAsia"/>
          <w:color w:val="000000"/>
          <w:sz w:val="28"/>
          <w:szCs w:val="28"/>
        </w:rPr>
        <w:t xml:space="preserve">招标文件相关要求，承诺如下：完全响应本项目采购需求“第四章 采购需求-三、物业管理服务内容及标准-3.4保洁服务、3.5保安服务、3.6绿化养护服务”，如我单位中标，将按照响应内容进行履约。如我单位投标文件的响应方案优于采购需求，将按投标文件履约。</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ind w:firstLine="560"/>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p>
    <w:p>
      <w:pP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172"/>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spacing w:after="20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0"/>
          <w:szCs w:val="30"/>
        </w:rPr>
      </w:r>
      <w:r/>
    </w:p>
    <w:p>
      <w:pPr>
        <w:spacing w:after="200"/>
        <w:rPr>
          <w:rFonts w:hint="eastAsia" w:ascii="宋体" w:hAnsi="宋体" w:cs="宋体"/>
          <w:b/>
          <w:bCs/>
          <w:color w:val="000000"/>
          <w:sz w:val="40"/>
          <w:szCs w:val="4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40"/>
          <w:szCs w:val="40"/>
        </w:rPr>
      </w:r>
      <w:r/>
    </w:p>
    <w:p>
      <w:pPr>
        <w:pStyle w:val="1142"/>
        <w:rPr>
          <w:rFonts w:hint="eastAsia" w:ascii="宋体" w:hAnsi="宋体" w:eastAsia="宋体" w:cs="宋体"/>
        </w:rPr>
        <w:outlineLvl w:val="1"/>
      </w:pPr>
      <w:r>
        <w:rPr>
          <w:rFonts w:hint="eastAsia" w:ascii="宋体" w:hAnsi="宋体" w:eastAsia="宋体" w:cs="宋体"/>
        </w:rPr>
      </w:r>
      <w:r/>
    </w:p>
    <w:p>
      <w:pPr>
        <w:pStyle w:val="1142"/>
        <w:rPr>
          <w:rFonts w:hint="eastAsia" w:ascii="宋体" w:hAnsi="宋体" w:eastAsia="宋体" w:cs="宋体"/>
        </w:rPr>
        <w:outlineLvl w:val="1"/>
      </w:pPr>
      <w:r>
        <w:rPr>
          <w:rFonts w:hint="eastAsia" w:ascii="宋体" w:hAnsi="宋体" w:eastAsia="宋体" w:cs="宋体"/>
        </w:rPr>
      </w:r>
      <w:r/>
    </w:p>
    <w:p>
      <w:pPr>
        <w:pStyle w:val="1142"/>
        <w:rPr>
          <w:rFonts w:hint="eastAsia" w:ascii="宋体" w:hAnsi="宋体" w:eastAsia="宋体" w:cs="宋体"/>
        </w:rPr>
        <w:outlineLvl w:val="1"/>
      </w:pPr>
      <w:r>
        <w:rPr>
          <w:rFonts w:hint="eastAsia" w:ascii="宋体" w:hAnsi="宋体" w:eastAsia="宋体" w:cs="宋体"/>
          <w:highlight w:val="none"/>
        </w:rPr>
      </w:r>
      <w:r>
        <w:rPr>
          <w:rFonts w:hint="eastAsia" w:ascii="宋体" w:hAnsi="宋体" w:eastAsia="宋体" w:cs="宋体"/>
          <w:highlight w:val="none"/>
        </w:rPr>
      </w:r>
      <w:r/>
    </w:p>
    <w:p>
      <w:pPr>
        <w:pStyle w:val="1142"/>
        <w:rPr>
          <w:rFonts w:hint="eastAsia" w:ascii="宋体" w:hAnsi="宋体" w:eastAsia="宋体" w:cs="宋体"/>
          <w:highlight w:val="none"/>
        </w:rPr>
        <w:outlineLvl w:val="1"/>
      </w:pPr>
      <w:r>
        <w:rPr>
          <w:rFonts w:hint="eastAsia" w:ascii="宋体" w:hAnsi="宋体" w:eastAsia="宋体" w:cs="宋体"/>
        </w:rPr>
        <w:t xml:space="preserve">十一、考核标准承诺</w:t>
      </w:r>
      <w:r/>
    </w:p>
    <w:p>
      <w:pPr>
        <w:pStyle w:val="1142"/>
        <w:rPr>
          <w:rFonts w:hint="eastAsia" w:ascii="宋体" w:hAnsi="宋体" w:eastAsia="宋体" w:cs="宋体"/>
        </w:rPr>
      </w:pPr>
      <w:r>
        <w:rPr>
          <w:rFonts w:hint="eastAsia" w:ascii="宋体" w:hAnsi="宋体" w:eastAsia="宋体" w:cs="宋体"/>
        </w:rPr>
      </w:r>
      <w:r/>
    </w:p>
    <w:p>
      <w:pPr>
        <w:pStyle w:val="1172"/>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pStyle w:val="1173"/>
        <w:spacing w:before="10" w:after="10" w:line="600" w:lineRule="exact"/>
        <w:rPr>
          <w:rFonts w:hint="eastAsia" w:ascii="宋体" w:hAnsi="宋体" w:cs="宋体"/>
          <w:sz w:val="28"/>
          <w:szCs w:val="28"/>
          <w:u w:val="single"/>
        </w:rPr>
      </w:pPr>
      <w:r>
        <w:rPr>
          <w:rFonts w:hint="eastAsia" w:ascii="宋体" w:hAnsi="宋体" w:cs="宋体"/>
          <w:sz w:val="28"/>
          <w:szCs w:val="28"/>
          <w:u w:val="single"/>
        </w:rPr>
        <w:t xml:space="preserve">宿迁市救助管理站：</w:t>
      </w:r>
      <w:r/>
    </w:p>
    <w:p>
      <w:pPr>
        <w:ind w:firstLine="560"/>
        <w:spacing w:line="480" w:lineRule="exact"/>
        <w:rPr>
          <w:rFonts w:hint="eastAsia" w:ascii="宋体" w:hAnsi="宋体" w:cs="宋体"/>
          <w:sz w:val="20"/>
        </w:rPr>
      </w:pPr>
      <w:r>
        <w:rPr>
          <w:rFonts w:hint="eastAsia" w:ascii="宋体" w:hAnsi="宋体" w:cs="宋体"/>
          <w:sz w:val="28"/>
          <w:szCs w:val="28"/>
        </w:rPr>
        <w:t xml:space="preserve">根据</w:t>
      </w:r>
      <w:r>
        <w:rPr>
          <w:rFonts w:hint="eastAsia" w:ascii="宋体" w:hAnsi="宋体" w:cs="宋体"/>
          <w:color w:val="000000"/>
          <w:sz w:val="28"/>
          <w:u w:val="single"/>
          <w:lang w:eastAsia="zh-CN"/>
        </w:rPr>
        <w:t xml:space="preserve">JSZC-321300-JZCG-G2025-0097</w:t>
      </w:r>
      <w:r>
        <w:rPr>
          <w:rFonts w:hint="eastAsia" w:ascii="宋体" w:hAnsi="宋体" w:cs="宋体"/>
          <w:color w:val="000000"/>
          <w:sz w:val="28"/>
        </w:rPr>
        <w:t xml:space="preserve">号</w:t>
      </w:r>
      <w:r>
        <w:rPr>
          <w:rFonts w:hint="eastAsia" w:ascii="宋体" w:hAnsi="宋体" w:cs="宋体"/>
          <w:color w:val="000000"/>
          <w:sz w:val="28"/>
          <w:u w:val="single"/>
        </w:rPr>
        <w:t xml:space="preserve">宿迁市救助管理站物业服务采购项目</w:t>
      </w:r>
      <w:r>
        <w:rPr>
          <w:rFonts w:hint="eastAsia" w:ascii="宋体" w:hAnsi="宋体" w:cs="宋体"/>
          <w:color w:val="000000"/>
          <w:sz w:val="28"/>
        </w:rPr>
        <w:t xml:space="preserve">招标文件相关要求，承诺如下：完全响应本项目采购需求“八、考核标准”，如我单位中标，将按照响应内容进行履约。如我单位投标文件的响应方案优于采购需求，将按投标文件履约。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十二、投标所需其他材料</w:t>
      </w:r>
      <w:r/>
    </w:p>
    <w:p>
      <w:pPr>
        <w:pStyle w:val="1156"/>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31"/>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110"/>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156"/>
        <w:spacing w:line="480" w:lineRule="exact"/>
        <w:rPr>
          <w:color w:val="000000"/>
          <w:sz w:val="24"/>
          <w:szCs w:val="24"/>
        </w:rPr>
      </w:pPr>
      <w:r>
        <w:rPr>
          <w:color w:val="000000"/>
          <w:sz w:val="24"/>
          <w:szCs w:val="24"/>
        </w:rPr>
      </w:r>
      <w:r/>
    </w:p>
    <w:p>
      <w:pPr>
        <w:pStyle w:val="1156"/>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9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3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toc 5"/>
    <w:basedOn w:val="798"/>
    <w:next w:val="798"/>
    <w:uiPriority w:val="39"/>
    <w:unhideWhenUsed/>
    <w:qFormat/>
    <w:pPr>
      <w:ind w:left="1134"/>
      <w:spacing w:after="57"/>
    </w:pPr>
  </w:style>
  <w:style w:type="paragraph" w:styleId="813">
    <w:name w:val="toc 3"/>
    <w:basedOn w:val="798"/>
    <w:next w:val="798"/>
    <w:uiPriority w:val="39"/>
    <w:unhideWhenUsed/>
    <w:qFormat/>
    <w:pPr>
      <w:ind w:left="567"/>
      <w:spacing w:after="57"/>
    </w:pPr>
  </w:style>
  <w:style w:type="paragraph" w:styleId="814">
    <w:name w:val="toc 8"/>
    <w:basedOn w:val="798"/>
    <w:next w:val="798"/>
    <w:uiPriority w:val="39"/>
    <w:unhideWhenUsed/>
    <w:qFormat/>
    <w:pPr>
      <w:ind w:left="1984"/>
      <w:spacing w:after="57"/>
    </w:pPr>
  </w:style>
  <w:style w:type="paragraph" w:styleId="815">
    <w:name w:val="endnote text"/>
    <w:basedOn w:val="798"/>
    <w:uiPriority w:val="99"/>
    <w:semiHidden/>
    <w:unhideWhenUsed/>
    <w:qFormat/>
    <w:rPr>
      <w:sz w:val="20"/>
    </w:rPr>
  </w:style>
  <w:style w:type="paragraph" w:styleId="816">
    <w:name w:val="Footer"/>
    <w:basedOn w:val="798"/>
    <w:uiPriority w:val="99"/>
    <w:unhideWhenUsed/>
    <w:qFormat/>
    <w:pPr>
      <w:tabs>
        <w:tab w:val="center" w:pos="7143" w:leader="none"/>
        <w:tab w:val="right" w:pos="14287" w:leader="none"/>
      </w:tabs>
    </w:pPr>
  </w:style>
  <w:style w:type="paragraph" w:styleId="817">
    <w:name w:val="Header"/>
    <w:basedOn w:val="798"/>
    <w:uiPriority w:val="99"/>
    <w:unhideWhenUsed/>
    <w:qFormat/>
    <w:pPr>
      <w:tabs>
        <w:tab w:val="center" w:pos="7143" w:leader="none"/>
        <w:tab w:val="right" w:pos="14287" w:leader="none"/>
      </w:tabs>
    </w:pPr>
  </w:style>
  <w:style w:type="paragraph" w:styleId="818">
    <w:name w:val="toc 1"/>
    <w:basedOn w:val="798"/>
    <w:next w:val="798"/>
    <w:uiPriority w:val="39"/>
    <w:unhideWhenUsed/>
    <w:qFormat/>
    <w:pPr>
      <w:spacing w:after="57"/>
    </w:pPr>
  </w:style>
  <w:style w:type="paragraph" w:styleId="819">
    <w:name w:val="toc 4"/>
    <w:basedOn w:val="798"/>
    <w:next w:val="798"/>
    <w:uiPriority w:val="39"/>
    <w:unhideWhenUsed/>
    <w:qFormat/>
    <w:pPr>
      <w:ind w:left="850"/>
      <w:spacing w:after="57"/>
    </w:pPr>
  </w:style>
  <w:style w:type="paragraph" w:styleId="820">
    <w:name w:val="Subtitle"/>
    <w:basedOn w:val="798"/>
    <w:next w:val="798"/>
    <w:uiPriority w:val="11"/>
    <w:qFormat/>
    <w:pPr>
      <w:spacing w:before="200" w:after="200"/>
    </w:pPr>
    <w:rPr>
      <w:sz w:val="24"/>
      <w:szCs w:val="24"/>
    </w:rPr>
  </w:style>
  <w:style w:type="paragraph" w:styleId="821">
    <w:name w:val="footnote text"/>
    <w:basedOn w:val="798"/>
    <w:uiPriority w:val="99"/>
    <w:semiHidden/>
    <w:unhideWhenUsed/>
    <w:qFormat/>
    <w:pPr>
      <w:spacing w:after="40"/>
    </w:pPr>
    <w:rPr>
      <w:sz w:val="18"/>
    </w:rPr>
  </w:style>
  <w:style w:type="paragraph" w:styleId="822">
    <w:name w:val="toc 6"/>
    <w:basedOn w:val="798"/>
    <w:next w:val="798"/>
    <w:uiPriority w:val="39"/>
    <w:unhideWhenUsed/>
    <w:qFormat/>
    <w:pPr>
      <w:ind w:left="1417"/>
      <w:spacing w:after="57"/>
    </w:pPr>
  </w:style>
  <w:style w:type="paragraph" w:styleId="823">
    <w:name w:val="table of figures"/>
    <w:basedOn w:val="798"/>
    <w:next w:val="798"/>
    <w:uiPriority w:val="99"/>
    <w:unhideWhenUsed/>
    <w:qFormat/>
  </w:style>
  <w:style w:type="paragraph" w:styleId="824">
    <w:name w:val="toc 2"/>
    <w:basedOn w:val="798"/>
    <w:next w:val="798"/>
    <w:uiPriority w:val="39"/>
    <w:unhideWhenUsed/>
    <w:qFormat/>
    <w:pPr>
      <w:ind w:left="283"/>
      <w:spacing w:after="57"/>
    </w:pPr>
  </w:style>
  <w:style w:type="paragraph" w:styleId="825">
    <w:name w:val="toc 9"/>
    <w:basedOn w:val="798"/>
    <w:next w:val="798"/>
    <w:uiPriority w:val="39"/>
    <w:unhideWhenUsed/>
    <w:qFormat/>
    <w:pPr>
      <w:ind w:left="2268"/>
      <w:spacing w:after="57"/>
    </w:pPr>
  </w:style>
  <w:style w:type="paragraph" w:styleId="826">
    <w:name w:val="Title"/>
    <w:basedOn w:val="798"/>
    <w:next w:val="798"/>
    <w:uiPriority w:val="10"/>
    <w:qFormat/>
    <w:pPr>
      <w:contextualSpacing/>
      <w:spacing w:before="300" w:after="200"/>
    </w:pPr>
    <w:rPr>
      <w:sz w:val="48"/>
      <w:szCs w:val="48"/>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name w:val="List Paragraph"/>
    <w:basedOn w:val="798"/>
    <w:uiPriority w:val="34"/>
    <w:qFormat/>
    <w:pPr>
      <w:contextualSpacing/>
      <w:ind w:left="720"/>
    </w:pPr>
  </w:style>
  <w:style w:type="paragraph" w:styleId="832">
    <w:name w:val="No Spacing"/>
    <w:uiPriority w:val="1"/>
    <w:qFormat/>
    <w:rPr>
      <w:rFonts w:ascii="Times New Roman" w:hAnsi="Times New Roman" w:eastAsia="宋体" w:cs="Times New Roman"/>
      <w:lang w:val="en-US" w:eastAsia="zh-CN" w:bidi="ar-SA"/>
    </w:rPr>
  </w:style>
  <w:style w:type="paragraph" w:styleId="833">
    <w:name w:val="Quote"/>
    <w:basedOn w:val="798"/>
    <w:next w:val="798"/>
    <w:uiPriority w:val="29"/>
    <w:qFormat/>
    <w:pPr>
      <w:ind w:left="720" w:right="720"/>
    </w:pPr>
    <w:rPr>
      <w:i/>
    </w:rPr>
  </w:style>
  <w:style w:type="paragraph" w:styleId="834">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5" w:customStyle="1">
    <w:name w:val="标题 11"/>
    <w:basedOn w:val="798"/>
    <w:next w:val="798"/>
    <w:link w:val="853"/>
    <w:uiPriority w:val="0"/>
    <w:qFormat/>
    <w:pPr>
      <w:keepLines/>
      <w:keepNext/>
      <w:spacing w:before="480" w:after="200"/>
      <w:outlineLvl w:val="0"/>
    </w:pPr>
    <w:rPr>
      <w:rFonts w:ascii="Arial" w:hAnsi="Arial" w:eastAsia="Arial" w:cs="Arial"/>
      <w:sz w:val="40"/>
      <w:szCs w:val="40"/>
    </w:rPr>
  </w:style>
  <w:style w:type="paragraph" w:styleId="836" w:customStyle="1">
    <w:name w:val="标题 2111"/>
    <w:basedOn w:val="798"/>
    <w:next w:val="798"/>
    <w:link w:val="854"/>
    <w:uiPriority w:val="0"/>
    <w:qFormat/>
    <w:pPr>
      <w:keepLines/>
      <w:keepNext/>
      <w:spacing w:before="260" w:after="260" w:line="413" w:lineRule="auto"/>
      <w:outlineLvl w:val="1"/>
    </w:pPr>
    <w:rPr>
      <w:rFonts w:ascii="Arial" w:hAnsi="Arial" w:eastAsia="黑体"/>
      <w:b/>
      <w:sz w:val="32"/>
      <w:szCs w:val="20"/>
    </w:rPr>
  </w:style>
  <w:style w:type="paragraph" w:styleId="837" w:customStyle="1">
    <w:name w:val="标题 312"/>
    <w:basedOn w:val="838"/>
    <w:next w:val="840"/>
    <w:link w:val="855"/>
    <w:uiPriority w:val="0"/>
    <w:qFormat/>
    <w:pPr>
      <w:keepLines/>
      <w:keepNext/>
      <w:spacing w:before="320" w:after="200"/>
      <w:outlineLvl w:val="2"/>
    </w:pPr>
    <w:rPr>
      <w:rFonts w:ascii="Arial" w:hAnsi="Arial" w:eastAsia="Arial" w:cs="Arial"/>
      <w:sz w:val="30"/>
      <w:szCs w:val="30"/>
    </w:rPr>
  </w:style>
  <w:style w:type="paragraph" w:styleId="838" w:customStyle="1">
    <w:name w:val="Normal1"/>
    <w:next w:val="839"/>
    <w:uiPriority w:val="0"/>
    <w:qFormat/>
    <w:pPr>
      <w:jc w:val="both"/>
      <w:widowControl w:val="off"/>
    </w:pPr>
    <w:rPr>
      <w:rFonts w:ascii="Calibri" w:hAnsi="Calibri" w:eastAsia="宋体" w:cs="Times New Roman"/>
      <w:sz w:val="21"/>
      <w:szCs w:val="22"/>
      <w:lang w:val="en-US" w:eastAsia="zh-CN" w:bidi="ar-SA"/>
    </w:rPr>
  </w:style>
  <w:style w:type="paragraph" w:styleId="839" w:customStyle="1">
    <w:name w:val="标题 311"/>
    <w:basedOn w:val="838"/>
    <w:next w:val="840"/>
    <w:uiPriority w:val="9"/>
    <w:qFormat/>
    <w:pPr>
      <w:keepLines/>
      <w:keepNext/>
      <w:spacing w:before="320" w:after="200"/>
      <w:outlineLvl w:val="2"/>
    </w:pPr>
    <w:rPr>
      <w:rFonts w:ascii="Arial" w:hAnsi="Arial" w:eastAsia="Arial" w:cs="Arial"/>
      <w:sz w:val="30"/>
      <w:szCs w:val="30"/>
    </w:rPr>
  </w:style>
  <w:style w:type="paragraph" w:styleId="840" w:customStyle="1">
    <w:name w:val="Normal_19"/>
    <w:next w:val="841"/>
    <w:uiPriority w:val="0"/>
    <w:qFormat/>
    <w:rPr>
      <w:rFonts w:ascii="黑体" w:hAnsi="黑体" w:eastAsia="黑体" w:cs="黑体"/>
      <w:b/>
      <w:sz w:val="32"/>
      <w:szCs w:val="24"/>
      <w:lang w:val="en-US" w:eastAsia="zh-CN" w:bidi="ar-SA"/>
    </w:rPr>
  </w:style>
  <w:style w:type="paragraph" w:styleId="841" w:customStyle="1">
    <w:name w:val="Normal11"/>
    <w:next w:val="842"/>
    <w:uiPriority w:val="0"/>
    <w:qFormat/>
    <w:pPr>
      <w:jc w:val="both"/>
      <w:widowControl w:val="off"/>
    </w:pPr>
    <w:rPr>
      <w:rFonts w:ascii="Times New Roman" w:hAnsi="Times New Roman" w:eastAsia="宋体" w:cs="Times New Roman"/>
      <w:szCs w:val="21"/>
      <w:lang w:val="en-US" w:eastAsia="zh-CN" w:bidi="ar-SA"/>
    </w:rPr>
  </w:style>
  <w:style w:type="paragraph" w:styleId="842" w:customStyle="1">
    <w:name w:val="Body Text First Indent1"/>
    <w:basedOn w:val="843"/>
    <w:uiPriority w:val="99"/>
    <w:unhideWhenUsed/>
    <w:qFormat/>
    <w:pPr>
      <w:ind w:firstLine="420"/>
    </w:pPr>
  </w:style>
  <w:style w:type="paragraph" w:styleId="843" w:customStyle="1">
    <w:name w:val="Body Text1"/>
    <w:basedOn w:val="844"/>
    <w:uiPriority w:val="99"/>
    <w:unhideWhenUsed/>
    <w:qFormat/>
    <w:pPr>
      <w:spacing w:after="120"/>
    </w:pPr>
  </w:style>
  <w:style w:type="paragraph" w:styleId="844" w:customStyle="1">
    <w:name w:val="Normal12"/>
    <w:next w:val="842"/>
    <w:uiPriority w:val="0"/>
    <w:qFormat/>
    <w:pPr>
      <w:jc w:val="both"/>
      <w:widowControl w:val="off"/>
    </w:pPr>
    <w:rPr>
      <w:rFonts w:ascii="Times New Roman" w:hAnsi="Times New Roman" w:eastAsia="宋体" w:cs="Times New Roman"/>
      <w:szCs w:val="21"/>
      <w:lang w:val="en-US" w:eastAsia="zh-CN" w:bidi="ar-SA"/>
    </w:rPr>
  </w:style>
  <w:style w:type="paragraph" w:styleId="845" w:customStyle="1">
    <w:name w:val="标题 411"/>
    <w:basedOn w:val="798"/>
    <w:next w:val="798"/>
    <w:link w:val="856"/>
    <w:uiPriority w:val="0"/>
    <w:qFormat/>
    <w:pPr>
      <w:jc w:val="center"/>
      <w:keepNext/>
      <w:outlineLvl w:val="3"/>
    </w:pPr>
    <w:rPr>
      <w:rFonts w:eastAsia="新宋体"/>
      <w:sz w:val="30"/>
      <w:szCs w:val="21"/>
    </w:rPr>
  </w:style>
  <w:style w:type="paragraph" w:styleId="846" w:customStyle="1">
    <w:name w:val="标题 51"/>
    <w:basedOn w:val="798"/>
    <w:next w:val="798"/>
    <w:link w:val="857"/>
    <w:uiPriority w:val="0"/>
    <w:qFormat/>
    <w:pPr>
      <w:keepLines/>
      <w:keepNext/>
      <w:spacing w:before="320" w:after="200"/>
      <w:outlineLvl w:val="4"/>
    </w:pPr>
    <w:rPr>
      <w:rFonts w:ascii="Arial" w:hAnsi="Arial" w:eastAsia="Arial" w:cs="Arial"/>
      <w:b/>
      <w:bCs/>
      <w:sz w:val="24"/>
      <w:szCs w:val="24"/>
    </w:rPr>
  </w:style>
  <w:style w:type="paragraph" w:styleId="847" w:customStyle="1">
    <w:name w:val="标题 61"/>
    <w:basedOn w:val="798"/>
    <w:next w:val="798"/>
    <w:link w:val="858"/>
    <w:uiPriority w:val="0"/>
    <w:qFormat/>
    <w:pPr>
      <w:keepLines/>
      <w:keepNext/>
      <w:spacing w:before="320" w:after="200"/>
      <w:outlineLvl w:val="5"/>
    </w:pPr>
    <w:rPr>
      <w:rFonts w:ascii="Arial" w:hAnsi="Arial" w:eastAsia="Arial" w:cs="Arial"/>
      <w:b/>
      <w:bCs/>
      <w:sz w:val="22"/>
    </w:rPr>
  </w:style>
  <w:style w:type="paragraph" w:styleId="848" w:customStyle="1">
    <w:name w:val="标题 71"/>
    <w:basedOn w:val="798"/>
    <w:next w:val="798"/>
    <w:link w:val="859"/>
    <w:uiPriority w:val="0"/>
    <w:qFormat/>
    <w:pPr>
      <w:keepLines/>
      <w:keepNext/>
      <w:spacing w:before="320" w:after="200"/>
      <w:outlineLvl w:val="6"/>
    </w:pPr>
    <w:rPr>
      <w:rFonts w:ascii="Arial" w:hAnsi="Arial" w:eastAsia="Arial" w:cs="Arial"/>
      <w:b/>
      <w:bCs/>
      <w:i/>
      <w:iCs/>
      <w:sz w:val="22"/>
    </w:rPr>
  </w:style>
  <w:style w:type="paragraph" w:styleId="849" w:customStyle="1">
    <w:name w:val="标题 81"/>
    <w:basedOn w:val="798"/>
    <w:next w:val="798"/>
    <w:link w:val="860"/>
    <w:uiPriority w:val="0"/>
    <w:qFormat/>
    <w:pPr>
      <w:keepLines/>
      <w:keepNext/>
      <w:spacing w:before="320" w:after="200"/>
      <w:outlineLvl w:val="7"/>
    </w:pPr>
    <w:rPr>
      <w:rFonts w:ascii="Arial" w:hAnsi="Arial" w:eastAsia="Arial" w:cs="Arial"/>
      <w:i/>
      <w:iCs/>
      <w:sz w:val="22"/>
    </w:rPr>
  </w:style>
  <w:style w:type="paragraph" w:styleId="850" w:customStyle="1">
    <w:name w:val="标题 91"/>
    <w:basedOn w:val="798"/>
    <w:next w:val="798"/>
    <w:link w:val="861"/>
    <w:uiPriority w:val="0"/>
    <w:qFormat/>
    <w:pPr>
      <w:keepLines/>
      <w:keepNext/>
      <w:spacing w:before="320" w:after="200"/>
      <w:outlineLvl w:val="8"/>
    </w:pPr>
    <w:rPr>
      <w:rFonts w:ascii="Arial" w:hAnsi="Arial" w:eastAsia="Arial" w:cs="Arial"/>
      <w:i/>
      <w:iCs/>
      <w:szCs w:val="21"/>
    </w:rPr>
  </w:style>
  <w:style w:type="character" w:styleId="851" w:customStyle="1">
    <w:name w:val="默认段落字体1"/>
    <w:uiPriority w:val="1"/>
    <w:unhideWhenUsed/>
    <w:qFormat/>
  </w:style>
  <w:style w:type="table" w:styleId="852" w:customStyle="1">
    <w:name w:val="普通表格1"/>
    <w:uiPriority w:val="99"/>
    <w:unhideWhenUsed/>
    <w:qFormat/>
    <w:tblPr>
      <w:tblCellMar>
        <w:left w:w="0" w:type="dxa"/>
        <w:top w:w="0" w:type="dxa"/>
        <w:right w:w="0" w:type="dxa"/>
        <w:bottom w:w="0" w:type="dxa"/>
      </w:tblCellMar>
    </w:tblPr>
  </w:style>
  <w:style w:type="character" w:styleId="853" w:customStyle="1">
    <w:name w:val="标题 1 字符"/>
    <w:link w:val="835"/>
    <w:uiPriority w:val="0"/>
    <w:qFormat/>
    <w:rPr>
      <w:rFonts w:ascii="Arial" w:hAnsi="Arial" w:eastAsia="Arial" w:cs="Arial"/>
      <w:sz w:val="40"/>
      <w:szCs w:val="40"/>
    </w:rPr>
  </w:style>
  <w:style w:type="character" w:styleId="854" w:customStyle="1">
    <w:name w:val="标题 2 字符"/>
    <w:link w:val="836"/>
    <w:uiPriority w:val="0"/>
    <w:qFormat/>
    <w:rPr>
      <w:rFonts w:ascii="Arial" w:hAnsi="Arial" w:eastAsia="Arial" w:cs="Arial"/>
      <w:sz w:val="34"/>
    </w:rPr>
  </w:style>
  <w:style w:type="character" w:styleId="855" w:customStyle="1">
    <w:name w:val="标题 3 字符"/>
    <w:link w:val="837"/>
    <w:uiPriority w:val="0"/>
    <w:qFormat/>
    <w:rPr>
      <w:rFonts w:ascii="Arial" w:hAnsi="Arial" w:eastAsia="Arial" w:cs="Arial"/>
      <w:sz w:val="30"/>
      <w:szCs w:val="30"/>
    </w:rPr>
  </w:style>
  <w:style w:type="character" w:styleId="856" w:customStyle="1">
    <w:name w:val="标题 4 字符"/>
    <w:link w:val="845"/>
    <w:uiPriority w:val="0"/>
    <w:qFormat/>
    <w:rPr>
      <w:rFonts w:ascii="Arial" w:hAnsi="Arial" w:eastAsia="Arial" w:cs="Arial"/>
      <w:b/>
      <w:bCs/>
      <w:sz w:val="26"/>
      <w:szCs w:val="26"/>
    </w:rPr>
  </w:style>
  <w:style w:type="character" w:styleId="857" w:customStyle="1">
    <w:name w:val="标题 5 字符"/>
    <w:link w:val="846"/>
    <w:uiPriority w:val="0"/>
    <w:qFormat/>
    <w:rPr>
      <w:rFonts w:ascii="Arial" w:hAnsi="Arial" w:eastAsia="Arial" w:cs="Arial"/>
      <w:b/>
      <w:bCs/>
      <w:sz w:val="24"/>
      <w:szCs w:val="24"/>
    </w:rPr>
  </w:style>
  <w:style w:type="character" w:styleId="858" w:customStyle="1">
    <w:name w:val="标题 6 字符"/>
    <w:link w:val="847"/>
    <w:uiPriority w:val="0"/>
    <w:qFormat/>
    <w:rPr>
      <w:rFonts w:ascii="Arial" w:hAnsi="Arial" w:eastAsia="Arial" w:cs="Arial"/>
      <w:b/>
      <w:bCs/>
      <w:sz w:val="22"/>
      <w:szCs w:val="22"/>
    </w:rPr>
  </w:style>
  <w:style w:type="character" w:styleId="859" w:customStyle="1">
    <w:name w:val="标题 7 字符"/>
    <w:link w:val="848"/>
    <w:uiPriority w:val="0"/>
    <w:qFormat/>
    <w:rPr>
      <w:rFonts w:ascii="Arial" w:hAnsi="Arial" w:eastAsia="Arial" w:cs="Arial"/>
      <w:b/>
      <w:bCs/>
      <w:i/>
      <w:iCs/>
      <w:sz w:val="22"/>
      <w:szCs w:val="22"/>
    </w:rPr>
  </w:style>
  <w:style w:type="character" w:styleId="860" w:customStyle="1">
    <w:name w:val="标题 8 字符"/>
    <w:link w:val="849"/>
    <w:uiPriority w:val="0"/>
    <w:qFormat/>
    <w:rPr>
      <w:rFonts w:ascii="Arial" w:hAnsi="Arial" w:eastAsia="Arial" w:cs="Arial"/>
      <w:i/>
      <w:iCs/>
      <w:sz w:val="22"/>
      <w:szCs w:val="22"/>
    </w:rPr>
  </w:style>
  <w:style w:type="character" w:styleId="861" w:customStyle="1">
    <w:name w:val="标题 9 字符"/>
    <w:link w:val="850"/>
    <w:uiPriority w:val="0"/>
    <w:qFormat/>
    <w:rPr>
      <w:rFonts w:ascii="Arial" w:hAnsi="Arial" w:eastAsia="Arial" w:cs="Arial"/>
      <w:i/>
      <w:iCs/>
      <w:sz w:val="21"/>
      <w:szCs w:val="21"/>
    </w:rPr>
  </w:style>
  <w:style w:type="paragraph" w:styleId="862" w:customStyle="1">
    <w:name w:val="列表 31"/>
    <w:basedOn w:val="798"/>
    <w:uiPriority w:val="0"/>
    <w:qFormat/>
    <w:pPr>
      <w:ind w:left="100" w:hanging="200"/>
    </w:pPr>
    <w:rPr>
      <w:rFonts w:ascii="Times New Roman" w:hAnsi="Times New Roman"/>
      <w:szCs w:val="21"/>
    </w:rPr>
  </w:style>
  <w:style w:type="paragraph" w:styleId="863" w:customStyle="1">
    <w:name w:val="目录 71"/>
    <w:basedOn w:val="798"/>
    <w:next w:val="798"/>
    <w:uiPriority w:val="0"/>
    <w:unhideWhenUsed/>
    <w:qFormat/>
    <w:pPr>
      <w:ind w:left="1701"/>
      <w:spacing w:after="57"/>
    </w:pPr>
  </w:style>
  <w:style w:type="paragraph" w:styleId="864" w:customStyle="1">
    <w:name w:val="正文缩进11"/>
    <w:basedOn w:val="798"/>
    <w:link w:val="865"/>
    <w:uiPriority w:val="0"/>
    <w:qFormat/>
    <w:pPr>
      <w:ind w:firstLine="420"/>
    </w:pPr>
    <w:rPr>
      <w:rFonts w:ascii="宋体"/>
      <w:color w:val="000000"/>
      <w:sz w:val="24"/>
      <w:szCs w:val="20"/>
    </w:rPr>
  </w:style>
  <w:style w:type="character" w:styleId="865" w:customStyle="1">
    <w:name w:val="正文缩进 字符"/>
    <w:link w:val="864"/>
    <w:uiPriority w:val="0"/>
    <w:qFormat/>
    <w:rPr>
      <w:rFonts w:ascii="宋体" w:hAnsi="Calibri"/>
      <w:color w:val="000000"/>
      <w:sz w:val="24"/>
    </w:rPr>
  </w:style>
  <w:style w:type="paragraph" w:styleId="866" w:customStyle="1">
    <w:name w:val="题注1"/>
    <w:basedOn w:val="798"/>
    <w:next w:val="798"/>
    <w:uiPriority w:val="35"/>
    <w:qFormat/>
    <w:pPr>
      <w:spacing w:line="276" w:lineRule="auto"/>
    </w:pPr>
    <w:rPr>
      <w:b/>
      <w:bCs/>
      <w:color w:val="5b9bd5"/>
      <w:sz w:val="18"/>
      <w:szCs w:val="18"/>
    </w:rPr>
  </w:style>
  <w:style w:type="paragraph" w:styleId="867" w:customStyle="1">
    <w:name w:val="文档结构图1"/>
    <w:basedOn w:val="798"/>
    <w:link w:val="868"/>
    <w:uiPriority w:val="0"/>
    <w:semiHidden/>
    <w:qFormat/>
    <w:pPr>
      <w:shd w:val="clear" w:color="auto" w:fill="000080"/>
    </w:pPr>
    <w:rPr>
      <w:rFonts w:ascii="Times New Roman" w:hAnsi="Times New Roman"/>
      <w:szCs w:val="21"/>
    </w:rPr>
  </w:style>
  <w:style w:type="character" w:styleId="868" w:customStyle="1">
    <w:name w:val="文档结构图 字符"/>
    <w:link w:val="867"/>
    <w:uiPriority w:val="0"/>
    <w:semiHidden/>
    <w:qFormat/>
    <w:rPr>
      <w:sz w:val="21"/>
      <w:szCs w:val="21"/>
      <w:shd w:val="clear" w:color="auto" w:fill="000080"/>
    </w:rPr>
  </w:style>
  <w:style w:type="paragraph" w:styleId="869" w:customStyle="1">
    <w:name w:val="批注文字11"/>
    <w:basedOn w:val="798"/>
    <w:link w:val="870"/>
    <w:uiPriority w:val="0"/>
    <w:semiHidden/>
    <w:qFormat/>
    <w:pPr>
      <w:jc w:val="left"/>
    </w:pPr>
    <w:rPr>
      <w:rFonts w:ascii="Times New Roman" w:hAnsi="Times New Roman"/>
      <w:szCs w:val="21"/>
    </w:rPr>
  </w:style>
  <w:style w:type="character" w:styleId="870" w:customStyle="1">
    <w:name w:val="批注文字 字符"/>
    <w:link w:val="869"/>
    <w:uiPriority w:val="0"/>
    <w:semiHidden/>
    <w:qFormat/>
    <w:rPr>
      <w:sz w:val="21"/>
      <w:szCs w:val="21"/>
    </w:rPr>
  </w:style>
  <w:style w:type="paragraph" w:styleId="871" w:customStyle="1">
    <w:name w:val="正文文本 31"/>
    <w:basedOn w:val="798"/>
    <w:link w:val="872"/>
    <w:uiPriority w:val="0"/>
    <w:qFormat/>
    <w:rPr>
      <w:rFonts w:ascii="仿宋_GB2312" w:hAnsi="Arial" w:eastAsia="仿宋_GB2312"/>
      <w:sz w:val="32"/>
      <w:szCs w:val="32"/>
    </w:rPr>
  </w:style>
  <w:style w:type="character" w:styleId="872" w:customStyle="1">
    <w:name w:val="正文文本 3 字符"/>
    <w:link w:val="871"/>
    <w:uiPriority w:val="0"/>
    <w:qFormat/>
    <w:rPr>
      <w:rFonts w:ascii="仿宋_GB2312" w:hAnsi="Arial" w:eastAsia="仿宋_GB2312"/>
      <w:sz w:val="32"/>
      <w:szCs w:val="32"/>
    </w:rPr>
  </w:style>
  <w:style w:type="paragraph" w:styleId="873" w:customStyle="1">
    <w:name w:val="正文文本111"/>
    <w:basedOn w:val="798"/>
    <w:uiPriority w:val="0"/>
    <w:semiHidden/>
    <w:qFormat/>
    <w:rPr>
      <w:rFonts w:ascii="仿宋" w:hAnsi="仿宋" w:eastAsia="仿宋" w:cs="仿宋"/>
      <w:sz w:val="32"/>
      <w:szCs w:val="32"/>
      <w:lang w:eastAsia="en-US"/>
    </w:rPr>
  </w:style>
  <w:style w:type="paragraph" w:styleId="874" w:customStyle="1">
    <w:name w:val="正文文本缩进11"/>
    <w:basedOn w:val="798"/>
    <w:link w:val="875"/>
    <w:uiPriority w:val="0"/>
    <w:qFormat/>
    <w:pPr>
      <w:ind w:firstLine="225"/>
    </w:pPr>
    <w:rPr>
      <w:rFonts w:ascii="仿宋_GB2312" w:eastAsia="仿宋_GB2312"/>
      <w:sz w:val="32"/>
    </w:rPr>
  </w:style>
  <w:style w:type="character" w:styleId="875" w:customStyle="1">
    <w:name w:val="正文文本缩进 字符1"/>
    <w:link w:val="874"/>
    <w:uiPriority w:val="0"/>
    <w:qFormat/>
    <w:rPr>
      <w:rFonts w:ascii="仿宋_GB2312" w:hAnsi="Calibri" w:eastAsia="仿宋_GB2312"/>
      <w:sz w:val="32"/>
      <w:szCs w:val="22"/>
    </w:rPr>
  </w:style>
  <w:style w:type="paragraph" w:styleId="876" w:customStyle="1">
    <w:name w:val="列表 21"/>
    <w:basedOn w:val="798"/>
    <w:uiPriority w:val="0"/>
    <w:qFormat/>
    <w:pPr>
      <w:ind w:left="100" w:hanging="200"/>
    </w:pPr>
    <w:rPr>
      <w:rFonts w:ascii="Times New Roman" w:hAnsi="Times New Roman"/>
      <w:szCs w:val="21"/>
    </w:rPr>
  </w:style>
  <w:style w:type="paragraph" w:styleId="877" w:customStyle="1">
    <w:name w:val="目录 51"/>
    <w:basedOn w:val="798"/>
    <w:next w:val="798"/>
    <w:uiPriority w:val="0"/>
    <w:unhideWhenUsed/>
    <w:qFormat/>
    <w:pPr>
      <w:ind w:left="1134"/>
      <w:spacing w:after="57"/>
    </w:pPr>
  </w:style>
  <w:style w:type="paragraph" w:styleId="878" w:customStyle="1">
    <w:name w:val="目录 31"/>
    <w:basedOn w:val="798"/>
    <w:next w:val="798"/>
    <w:uiPriority w:val="0"/>
    <w:unhideWhenUsed/>
    <w:qFormat/>
    <w:pPr>
      <w:ind w:left="567"/>
      <w:spacing w:after="57"/>
    </w:pPr>
  </w:style>
  <w:style w:type="paragraph" w:styleId="879" w:customStyle="1">
    <w:name w:val="纯文本11"/>
    <w:basedOn w:val="798"/>
    <w:link w:val="880"/>
    <w:uiPriority w:val="0"/>
    <w:qFormat/>
    <w:rPr>
      <w:rFonts w:ascii="宋体" w:hAnsi="Courier New" w:cs="Courier New"/>
      <w:szCs w:val="21"/>
    </w:rPr>
  </w:style>
  <w:style w:type="character" w:styleId="880" w:customStyle="1">
    <w:name w:val="纯文本 字符"/>
    <w:link w:val="879"/>
    <w:uiPriority w:val="0"/>
    <w:qFormat/>
    <w:rPr>
      <w:rFonts w:ascii="宋体" w:hAnsi="Courier New" w:cs="Courier New"/>
      <w:sz w:val="21"/>
      <w:szCs w:val="21"/>
    </w:rPr>
  </w:style>
  <w:style w:type="paragraph" w:styleId="881" w:customStyle="1">
    <w:name w:val="目录 81"/>
    <w:basedOn w:val="798"/>
    <w:next w:val="798"/>
    <w:uiPriority w:val="0"/>
    <w:unhideWhenUsed/>
    <w:qFormat/>
    <w:pPr>
      <w:ind w:left="1984"/>
      <w:spacing w:after="57"/>
    </w:pPr>
  </w:style>
  <w:style w:type="paragraph" w:styleId="882" w:customStyle="1">
    <w:name w:val="日期1"/>
    <w:basedOn w:val="798"/>
    <w:next w:val="798"/>
    <w:link w:val="883"/>
    <w:uiPriority w:val="0"/>
    <w:qFormat/>
    <w:rPr>
      <w:rFonts w:ascii="Times New Roman" w:hAnsi="Times New Roman"/>
      <w:sz w:val="24"/>
      <w:szCs w:val="24"/>
    </w:rPr>
  </w:style>
  <w:style w:type="character" w:styleId="883" w:customStyle="1">
    <w:name w:val="日期 字符"/>
    <w:link w:val="882"/>
    <w:uiPriority w:val="0"/>
    <w:qFormat/>
    <w:rPr>
      <w:sz w:val="24"/>
      <w:szCs w:val="24"/>
    </w:rPr>
  </w:style>
  <w:style w:type="paragraph" w:styleId="884" w:customStyle="1">
    <w:name w:val="正文文本缩进 21"/>
    <w:basedOn w:val="798"/>
    <w:link w:val="885"/>
    <w:uiPriority w:val="0"/>
    <w:qFormat/>
    <w:pPr>
      <w:ind w:left="630" w:firstLine="645"/>
    </w:pPr>
    <w:rPr>
      <w:rFonts w:ascii="Arial" w:hAnsi="Arial" w:eastAsia="仿宋_GB2312" w:cs="Arial"/>
      <w:sz w:val="32"/>
      <w:szCs w:val="32"/>
    </w:rPr>
  </w:style>
  <w:style w:type="character" w:styleId="885" w:customStyle="1">
    <w:name w:val="正文文本缩进 2 字符"/>
    <w:link w:val="884"/>
    <w:uiPriority w:val="0"/>
    <w:qFormat/>
    <w:rPr>
      <w:rFonts w:ascii="Arial" w:hAnsi="Arial" w:eastAsia="仿宋_GB2312" w:cs="Arial"/>
      <w:sz w:val="32"/>
      <w:szCs w:val="32"/>
    </w:rPr>
  </w:style>
  <w:style w:type="paragraph" w:styleId="886" w:customStyle="1">
    <w:name w:val="尾注文本1"/>
    <w:basedOn w:val="798"/>
    <w:link w:val="887"/>
    <w:uiPriority w:val="99"/>
    <w:unhideWhenUsed/>
    <w:qFormat/>
    <w:rPr>
      <w:sz w:val="20"/>
    </w:rPr>
  </w:style>
  <w:style w:type="character" w:styleId="887" w:customStyle="1">
    <w:name w:val="尾注文本 字符"/>
    <w:link w:val="886"/>
    <w:uiPriority w:val="99"/>
    <w:qFormat/>
    <w:rPr>
      <w:sz w:val="20"/>
    </w:rPr>
  </w:style>
  <w:style w:type="paragraph" w:styleId="888" w:customStyle="1">
    <w:name w:val="批注框文本1"/>
    <w:basedOn w:val="798"/>
    <w:link w:val="889"/>
    <w:uiPriority w:val="0"/>
    <w:qFormat/>
    <w:rPr>
      <w:rFonts w:ascii="Times New Roman" w:hAnsi="Times New Roman"/>
      <w:sz w:val="18"/>
      <w:szCs w:val="18"/>
    </w:rPr>
  </w:style>
  <w:style w:type="character" w:styleId="889" w:customStyle="1">
    <w:name w:val="批注框文本 字符"/>
    <w:link w:val="888"/>
    <w:uiPriority w:val="0"/>
    <w:qFormat/>
    <w:rPr>
      <w:sz w:val="18"/>
      <w:szCs w:val="18"/>
    </w:rPr>
  </w:style>
  <w:style w:type="paragraph" w:styleId="890" w:customStyle="1">
    <w:name w:val="页脚111"/>
    <w:basedOn w:val="798"/>
    <w:link w:val="891"/>
    <w:uiPriority w:val="99"/>
    <w:qFormat/>
    <w:pPr>
      <w:jc w:val="left"/>
      <w:tabs>
        <w:tab w:val="center" w:pos="4153" w:leader="none"/>
        <w:tab w:val="right" w:pos="8306" w:leader="none"/>
      </w:tabs>
    </w:pPr>
    <w:rPr>
      <w:sz w:val="18"/>
      <w:szCs w:val="18"/>
    </w:rPr>
  </w:style>
  <w:style w:type="character" w:styleId="891" w:customStyle="1">
    <w:name w:val="页脚 字符"/>
    <w:link w:val="890"/>
    <w:uiPriority w:val="99"/>
    <w:qFormat/>
  </w:style>
  <w:style w:type="paragraph" w:styleId="892" w:customStyle="1">
    <w:name w:val="页眉1"/>
    <w:basedOn w:val="798"/>
    <w:link w:val="893"/>
    <w:uiPriority w:val="0"/>
    <w:qFormat/>
    <w:pPr>
      <w:jc w:val="center"/>
      <w:tabs>
        <w:tab w:val="center" w:pos="4153" w:leader="none"/>
        <w:tab w:val="right" w:pos="8306" w:leader="none"/>
      </w:tabs>
    </w:pPr>
    <w:rPr>
      <w:sz w:val="18"/>
      <w:szCs w:val="18"/>
    </w:rPr>
  </w:style>
  <w:style w:type="character" w:styleId="893" w:customStyle="1">
    <w:name w:val="页眉 字符"/>
    <w:link w:val="892"/>
    <w:uiPriority w:val="0"/>
    <w:qFormat/>
    <w:rPr>
      <w:rFonts w:ascii="Calibri" w:hAnsi="Calibri"/>
      <w:sz w:val="18"/>
      <w:szCs w:val="18"/>
    </w:rPr>
  </w:style>
  <w:style w:type="paragraph" w:styleId="894" w:customStyle="1">
    <w:name w:val="目录 11"/>
    <w:basedOn w:val="798"/>
    <w:next w:val="798"/>
    <w:uiPriority w:val="0"/>
    <w:qFormat/>
    <w:pPr>
      <w:jc w:val="left"/>
      <w:spacing w:before="120" w:after="120"/>
    </w:pPr>
    <w:rPr>
      <w:rFonts w:cs="Calibri"/>
      <w:b/>
      <w:bCs/>
      <w:caps/>
      <w:sz w:val="20"/>
      <w:szCs w:val="20"/>
    </w:rPr>
  </w:style>
  <w:style w:type="paragraph" w:styleId="895" w:customStyle="1">
    <w:name w:val="目录 41"/>
    <w:basedOn w:val="798"/>
    <w:next w:val="798"/>
    <w:uiPriority w:val="0"/>
    <w:unhideWhenUsed/>
    <w:qFormat/>
    <w:pPr>
      <w:ind w:left="850"/>
      <w:spacing w:after="57"/>
    </w:pPr>
  </w:style>
  <w:style w:type="paragraph" w:styleId="896" w:customStyle="1">
    <w:name w:val="副标题1"/>
    <w:basedOn w:val="798"/>
    <w:next w:val="798"/>
    <w:link w:val="897"/>
    <w:uiPriority w:val="11"/>
    <w:qFormat/>
    <w:pPr>
      <w:spacing w:before="200" w:after="200"/>
    </w:pPr>
    <w:rPr>
      <w:sz w:val="24"/>
      <w:szCs w:val="24"/>
    </w:rPr>
  </w:style>
  <w:style w:type="character" w:styleId="897" w:customStyle="1">
    <w:name w:val="副标题 字符"/>
    <w:link w:val="896"/>
    <w:uiPriority w:val="11"/>
    <w:qFormat/>
    <w:rPr>
      <w:sz w:val="24"/>
      <w:szCs w:val="24"/>
    </w:rPr>
  </w:style>
  <w:style w:type="paragraph" w:styleId="898" w:customStyle="1">
    <w:name w:val="列表1"/>
    <w:basedOn w:val="798"/>
    <w:uiPriority w:val="0"/>
    <w:qFormat/>
    <w:pPr>
      <w:ind w:left="200" w:hanging="200"/>
    </w:pPr>
    <w:rPr>
      <w:rFonts w:ascii="Times New Roman" w:hAnsi="Times New Roman"/>
      <w:szCs w:val="21"/>
    </w:rPr>
  </w:style>
  <w:style w:type="paragraph" w:styleId="899" w:customStyle="1">
    <w:name w:val="脚注文本11"/>
    <w:basedOn w:val="798"/>
    <w:link w:val="900"/>
    <w:uiPriority w:val="99"/>
    <w:unhideWhenUsed/>
    <w:qFormat/>
    <w:pPr>
      <w:spacing w:after="40"/>
    </w:pPr>
    <w:rPr>
      <w:sz w:val="18"/>
    </w:rPr>
  </w:style>
  <w:style w:type="character" w:styleId="900" w:customStyle="1">
    <w:name w:val="脚注文本 字符"/>
    <w:link w:val="899"/>
    <w:uiPriority w:val="99"/>
    <w:qFormat/>
    <w:rPr>
      <w:sz w:val="18"/>
    </w:rPr>
  </w:style>
  <w:style w:type="paragraph" w:styleId="901" w:customStyle="1">
    <w:name w:val="目录 61"/>
    <w:basedOn w:val="798"/>
    <w:next w:val="798"/>
    <w:uiPriority w:val="0"/>
    <w:unhideWhenUsed/>
    <w:qFormat/>
    <w:pPr>
      <w:ind w:left="1417"/>
      <w:spacing w:after="57"/>
    </w:pPr>
  </w:style>
  <w:style w:type="paragraph" w:styleId="902" w:customStyle="1">
    <w:name w:val="正文文本缩进 31"/>
    <w:basedOn w:val="798"/>
    <w:link w:val="903"/>
    <w:uiPriority w:val="0"/>
    <w:qFormat/>
    <w:pPr>
      <w:ind w:left="645" w:firstLine="645"/>
    </w:pPr>
    <w:rPr>
      <w:rFonts w:ascii="Arial" w:hAnsi="Arial" w:eastAsia="仿宋_GB2312" w:cs="Arial"/>
      <w:color w:val="ffff00"/>
      <w:sz w:val="32"/>
      <w:szCs w:val="32"/>
    </w:rPr>
  </w:style>
  <w:style w:type="character" w:styleId="903" w:customStyle="1">
    <w:name w:val="正文文本缩进 3 字符"/>
    <w:link w:val="902"/>
    <w:uiPriority w:val="0"/>
    <w:qFormat/>
    <w:rPr>
      <w:rFonts w:ascii="Arial" w:hAnsi="Arial" w:eastAsia="仿宋_GB2312" w:cs="Arial"/>
      <w:color w:val="ffff00"/>
      <w:sz w:val="32"/>
      <w:szCs w:val="32"/>
    </w:rPr>
  </w:style>
  <w:style w:type="paragraph" w:styleId="904" w:customStyle="1">
    <w:name w:val="图表目录1"/>
    <w:basedOn w:val="798"/>
    <w:next w:val="798"/>
    <w:uiPriority w:val="0"/>
    <w:unhideWhenUsed/>
    <w:qFormat/>
  </w:style>
  <w:style w:type="paragraph" w:styleId="905" w:customStyle="1">
    <w:name w:val="目录 21"/>
    <w:basedOn w:val="798"/>
    <w:next w:val="798"/>
    <w:uiPriority w:val="0"/>
    <w:qFormat/>
    <w:pPr>
      <w:ind w:left="210"/>
      <w:jc w:val="left"/>
    </w:pPr>
    <w:rPr>
      <w:rFonts w:cs="Calibri"/>
      <w:smallCaps/>
      <w:sz w:val="20"/>
      <w:szCs w:val="20"/>
    </w:rPr>
  </w:style>
  <w:style w:type="paragraph" w:styleId="906" w:customStyle="1">
    <w:name w:val="目录 91"/>
    <w:basedOn w:val="798"/>
    <w:next w:val="798"/>
    <w:uiPriority w:val="0"/>
    <w:unhideWhenUsed/>
    <w:qFormat/>
    <w:pPr>
      <w:ind w:left="2268"/>
      <w:spacing w:after="57"/>
    </w:pPr>
  </w:style>
  <w:style w:type="paragraph" w:styleId="907" w:customStyle="1">
    <w:name w:val="正文文本 21"/>
    <w:basedOn w:val="798"/>
    <w:link w:val="908"/>
    <w:uiPriority w:val="0"/>
    <w:qFormat/>
    <w:pPr>
      <w:jc w:val="center"/>
      <w:widowControl/>
    </w:pPr>
    <w:rPr>
      <w:rFonts w:ascii="楷体_GB2312" w:hAnsi="Times New Roman" w:eastAsia="楷体_GB2312"/>
      <w:sz w:val="28"/>
      <w:szCs w:val="28"/>
    </w:rPr>
  </w:style>
  <w:style w:type="character" w:styleId="908" w:customStyle="1">
    <w:name w:val="正文文本 2 字符"/>
    <w:link w:val="907"/>
    <w:uiPriority w:val="0"/>
    <w:qFormat/>
    <w:rPr>
      <w:rFonts w:ascii="楷体_GB2312" w:eastAsia="楷体_GB2312"/>
      <w:sz w:val="28"/>
      <w:szCs w:val="28"/>
    </w:rPr>
  </w:style>
  <w:style w:type="paragraph" w:styleId="909" w:customStyle="1">
    <w:name w:val="HTML 预设格式1"/>
    <w:basedOn w:val="798"/>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0" w:customStyle="1">
    <w:name w:val="HTML 预设格式 字符"/>
    <w:link w:val="909"/>
    <w:uiPriority w:val="99"/>
    <w:qFormat/>
    <w:rPr>
      <w:rFonts w:ascii="宋体" w:hAnsi="宋体"/>
      <w:sz w:val="24"/>
      <w:szCs w:val="24"/>
    </w:rPr>
  </w:style>
  <w:style w:type="paragraph" w:styleId="911" w:customStyle="1">
    <w:name w:val="普通(网站)1111"/>
    <w:basedOn w:val="798"/>
    <w:uiPriority w:val="99"/>
    <w:qFormat/>
    <w:pPr>
      <w:jc w:val="left"/>
      <w:spacing w:before="100" w:beforeAutospacing="1" w:after="100" w:afterAutospacing="1"/>
      <w:widowControl/>
    </w:pPr>
    <w:rPr>
      <w:rFonts w:ascii="宋体" w:hAnsi="宋体" w:cs="宋体"/>
      <w:sz w:val="24"/>
      <w:szCs w:val="24"/>
    </w:rPr>
  </w:style>
  <w:style w:type="paragraph" w:styleId="912" w:customStyle="1">
    <w:name w:val="索引 11"/>
    <w:basedOn w:val="798"/>
    <w:next w:val="798"/>
    <w:uiPriority w:val="0"/>
    <w:semiHidden/>
    <w:qFormat/>
    <w:pPr>
      <w:spacing w:line="240" w:lineRule="atLeast"/>
    </w:pPr>
    <w:rPr>
      <w:rFonts w:ascii="Times New Roman" w:hAnsi="Times New Roman"/>
      <w:b/>
      <w:bCs/>
      <w:szCs w:val="21"/>
    </w:rPr>
  </w:style>
  <w:style w:type="paragraph" w:styleId="913" w:customStyle="1">
    <w:name w:val="标题11"/>
    <w:basedOn w:val="798"/>
    <w:next w:val="798"/>
    <w:link w:val="914"/>
    <w:uiPriority w:val="10"/>
    <w:qFormat/>
    <w:pPr>
      <w:contextualSpacing/>
      <w:spacing w:before="300" w:after="200"/>
    </w:pPr>
    <w:rPr>
      <w:sz w:val="48"/>
      <w:szCs w:val="48"/>
    </w:rPr>
  </w:style>
  <w:style w:type="character" w:styleId="914" w:customStyle="1">
    <w:name w:val="标题 字符"/>
    <w:link w:val="913"/>
    <w:uiPriority w:val="10"/>
    <w:qFormat/>
    <w:rPr>
      <w:sz w:val="48"/>
      <w:szCs w:val="48"/>
    </w:rPr>
  </w:style>
  <w:style w:type="paragraph" w:styleId="915" w:customStyle="1">
    <w:name w:val="批注主题1"/>
    <w:basedOn w:val="869"/>
    <w:next w:val="869"/>
    <w:link w:val="916"/>
    <w:uiPriority w:val="0"/>
    <w:semiHidden/>
    <w:qFormat/>
    <w:rPr>
      <w:b/>
      <w:bCs/>
    </w:rPr>
  </w:style>
  <w:style w:type="character" w:styleId="916" w:customStyle="1">
    <w:name w:val="批注主题 字符"/>
    <w:link w:val="915"/>
    <w:uiPriority w:val="0"/>
    <w:semiHidden/>
    <w:qFormat/>
    <w:rPr>
      <w:b/>
      <w:bCs/>
      <w:sz w:val="21"/>
      <w:szCs w:val="21"/>
    </w:rPr>
  </w:style>
  <w:style w:type="paragraph" w:styleId="917" w:customStyle="1">
    <w:name w:val="正文首行缩进 211"/>
    <w:basedOn w:val="874"/>
    <w:link w:val="918"/>
    <w:uiPriority w:val="0"/>
    <w:qFormat/>
    <w:pPr>
      <w:ind w:firstLine="420"/>
      <w:spacing w:line="360" w:lineRule="auto"/>
    </w:pPr>
    <w:rPr>
      <w:rFonts w:ascii="宋体" w:hAnsi="宋体" w:eastAsia="宋体"/>
      <w:sz w:val="21"/>
      <w:szCs w:val="20"/>
    </w:rPr>
  </w:style>
  <w:style w:type="character" w:styleId="918" w:customStyle="1">
    <w:name w:val="正文文本首行缩进 2 字符"/>
    <w:link w:val="917"/>
    <w:uiPriority w:val="0"/>
    <w:qFormat/>
    <w:rPr>
      <w:rFonts w:ascii="宋体" w:hAnsi="宋体" w:eastAsia="仿宋_GB2312"/>
      <w:sz w:val="21"/>
      <w:szCs w:val="22"/>
    </w:rPr>
  </w:style>
  <w:style w:type="table" w:styleId="919" w:customStyle="1">
    <w:name w:val="网格型1"/>
    <w:basedOn w:val="852"/>
    <w:uiPriority w:val="0"/>
    <w:qFormat/>
    <w:pPr>
      <w:jc w:val="both"/>
      <w:widowControl w:val="off"/>
    </w:pPr>
    <w:tblPr/>
  </w:style>
  <w:style w:type="character" w:styleId="920" w:customStyle="1">
    <w:name w:val="要点1"/>
    <w:uiPriority w:val="0"/>
    <w:qFormat/>
    <w:rPr>
      <w:b/>
      <w:bCs/>
    </w:rPr>
  </w:style>
  <w:style w:type="character" w:styleId="921" w:customStyle="1">
    <w:name w:val="尾注引用1"/>
    <w:uiPriority w:val="99"/>
    <w:unhideWhenUsed/>
    <w:qFormat/>
    <w:rPr>
      <w:vertAlign w:val="superscript"/>
    </w:rPr>
  </w:style>
  <w:style w:type="character" w:styleId="922" w:customStyle="1">
    <w:name w:val="页码11"/>
    <w:uiPriority w:val="0"/>
    <w:qFormat/>
  </w:style>
  <w:style w:type="character" w:styleId="923" w:customStyle="1">
    <w:name w:val="已访问的超链接1"/>
    <w:uiPriority w:val="0"/>
    <w:qFormat/>
    <w:rPr>
      <w:color w:val="800080"/>
      <w:u w:val="single"/>
    </w:rPr>
  </w:style>
  <w:style w:type="character" w:styleId="924" w:customStyle="1">
    <w:name w:val="超链接1"/>
    <w:uiPriority w:val="0"/>
    <w:qFormat/>
    <w:rPr>
      <w:color w:val="0000ff"/>
      <w:u w:val="single"/>
    </w:rPr>
  </w:style>
  <w:style w:type="character" w:styleId="925" w:customStyle="1">
    <w:name w:val="批注引用1"/>
    <w:uiPriority w:val="0"/>
    <w:semiHidden/>
    <w:qFormat/>
    <w:rPr>
      <w:sz w:val="21"/>
      <w:szCs w:val="21"/>
    </w:rPr>
  </w:style>
  <w:style w:type="character" w:styleId="926" w:customStyle="1">
    <w:name w:val="脚注引用1"/>
    <w:uiPriority w:val="99"/>
    <w:unhideWhenUsed/>
    <w:qFormat/>
    <w:rPr>
      <w:vertAlign w:val="superscript"/>
    </w:rPr>
  </w:style>
  <w:style w:type="character" w:styleId="927" w:customStyle="1">
    <w:name w:val="16"/>
    <w:uiPriority w:val="0"/>
    <w:qFormat/>
    <w:rPr>
      <w:rFonts w:ascii="Calibri" w:hAnsi="Calibri"/>
      <w:sz w:val="21"/>
      <w:szCs w:val="22"/>
      <w:lang w:val="en-US" w:eastAsia="zh-CN" w:bidi="ar-SA"/>
    </w:rPr>
  </w:style>
  <w:style w:type="paragraph" w:styleId="928" w:customStyle="1">
    <w:name w:val="正文首行缩进 21"/>
    <w:basedOn w:val="929"/>
    <w:next w:val="798"/>
    <w:uiPriority w:val="0"/>
    <w:qFormat/>
    <w:pPr>
      <w:ind w:firstLine="420"/>
      <w:spacing w:line="360" w:lineRule="auto"/>
    </w:pPr>
    <w:rPr>
      <w:rFonts w:ascii="宋体" w:hAnsi="宋体" w:eastAsia="宋体"/>
      <w:sz w:val="21"/>
      <w:szCs w:val="20"/>
    </w:rPr>
  </w:style>
  <w:style w:type="paragraph" w:styleId="929" w:customStyle="1">
    <w:name w:val="正文文本缩进1"/>
    <w:basedOn w:val="798"/>
    <w:next w:val="930"/>
    <w:uiPriority w:val="0"/>
    <w:qFormat/>
    <w:pPr>
      <w:ind w:firstLine="645"/>
    </w:pPr>
    <w:rPr>
      <w:rFonts w:ascii="楷体_GB2312" w:eastAsia="楷体_GB2312"/>
      <w:sz w:val="32"/>
      <w:szCs w:val="32"/>
    </w:rPr>
  </w:style>
  <w:style w:type="paragraph" w:styleId="930" w:customStyle="1">
    <w:name w:val="寄信人地址1"/>
    <w:basedOn w:val="798"/>
    <w:uiPriority w:val="0"/>
    <w:qFormat/>
    <w:rPr>
      <w:rFonts w:ascii="Arial" w:hAnsi="Arial"/>
    </w:rPr>
  </w:style>
  <w:style w:type="paragraph" w:styleId="931" w:customStyle="1">
    <w:name w:val="标题 41"/>
    <w:basedOn w:val="932"/>
    <w:next w:val="79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2" w:customStyle="1">
    <w:name w:val="Normal_20"/>
    <w:next w:val="933"/>
    <w:uiPriority w:val="0"/>
    <w:qFormat/>
    <w:rPr>
      <w:rFonts w:ascii="黑体" w:hAnsi="黑体" w:eastAsia="黑体" w:cs="黑体"/>
      <w:b/>
      <w:sz w:val="32"/>
      <w:szCs w:val="24"/>
      <w:lang w:val="en-US" w:eastAsia="zh-CN" w:bidi="ar-SA"/>
    </w:rPr>
  </w:style>
  <w:style w:type="paragraph" w:styleId="933" w:customStyle="1">
    <w:name w:val="Body Text First Indent_2"/>
    <w:basedOn w:val="932"/>
    <w:uiPriority w:val="0"/>
    <w:qFormat/>
    <w:pPr>
      <w:ind w:firstLine="100"/>
      <w:spacing w:after="120"/>
    </w:pPr>
  </w:style>
  <w:style w:type="paragraph" w:styleId="934" w:customStyle="1">
    <w:name w:val="脚注文本1"/>
    <w:basedOn w:val="798"/>
    <w:uiPriority w:val="0"/>
    <w:qFormat/>
    <w:pPr>
      <w:jc w:val="left"/>
    </w:pPr>
    <w:rPr>
      <w:rFonts w:eastAsia="Times New Roman"/>
      <w:sz w:val="18"/>
      <w:szCs w:val="24"/>
    </w:rPr>
  </w:style>
  <w:style w:type="table" w:styleId="935" w:customStyle="1">
    <w:name w:val="无格式表格 11"/>
    <w:basedOn w:val="852"/>
    <w:uiPriority w:val="59"/>
    <w:qFormat/>
    <w:tblPr/>
  </w:style>
  <w:style w:type="table" w:styleId="936" w:customStyle="1">
    <w:name w:val="无格式表格 21"/>
    <w:basedOn w:val="852"/>
    <w:uiPriority w:val="59"/>
    <w:qFormat/>
    <w:tblPr/>
  </w:style>
  <w:style w:type="table" w:styleId="937" w:customStyle="1">
    <w:name w:val="无格式表格 31"/>
    <w:basedOn w:val="852"/>
    <w:uiPriority w:val="99"/>
    <w:qFormat/>
    <w:tblPr/>
  </w:style>
  <w:style w:type="table" w:styleId="938" w:customStyle="1">
    <w:name w:val="无格式表格 41"/>
    <w:basedOn w:val="852"/>
    <w:uiPriority w:val="99"/>
    <w:qFormat/>
    <w:tblPr/>
  </w:style>
  <w:style w:type="table" w:styleId="939" w:customStyle="1">
    <w:name w:val="无格式表格 51"/>
    <w:basedOn w:val="852"/>
    <w:uiPriority w:val="99"/>
    <w:qFormat/>
    <w:tblPr/>
  </w:style>
  <w:style w:type="table" w:styleId="940" w:customStyle="1">
    <w:name w:val="网格表 1 浅色1"/>
    <w:basedOn w:val="852"/>
    <w:uiPriority w:val="99"/>
    <w:qFormat/>
    <w:tblPr/>
  </w:style>
  <w:style w:type="table" w:styleId="941" w:customStyle="1">
    <w:name w:val="网格表 21"/>
    <w:basedOn w:val="852"/>
    <w:uiPriority w:val="99"/>
    <w:qFormat/>
    <w:tblPr/>
  </w:style>
  <w:style w:type="table" w:styleId="942" w:customStyle="1">
    <w:name w:val="网格表 31"/>
    <w:basedOn w:val="852"/>
    <w:uiPriority w:val="99"/>
    <w:qFormat/>
    <w:tblPr/>
  </w:style>
  <w:style w:type="table" w:styleId="943" w:customStyle="1">
    <w:name w:val="网格表 41"/>
    <w:basedOn w:val="852"/>
    <w:uiPriority w:val="59"/>
    <w:qFormat/>
    <w:tblPr/>
  </w:style>
  <w:style w:type="table" w:styleId="944" w:customStyle="1">
    <w:name w:val="网格表 5 深色1"/>
    <w:basedOn w:val="852"/>
    <w:uiPriority w:val="99"/>
    <w:qFormat/>
    <w:tblPr/>
  </w:style>
  <w:style w:type="table" w:styleId="945" w:customStyle="1">
    <w:name w:val="网格表 6 彩色1"/>
    <w:basedOn w:val="852"/>
    <w:uiPriority w:val="99"/>
    <w:qFormat/>
    <w:tblPr/>
  </w:style>
  <w:style w:type="table" w:styleId="946" w:customStyle="1">
    <w:name w:val="网格表 7 彩色1"/>
    <w:basedOn w:val="852"/>
    <w:uiPriority w:val="99"/>
    <w:qFormat/>
    <w:tblPr/>
  </w:style>
  <w:style w:type="table" w:styleId="947" w:customStyle="1">
    <w:name w:val="清单表 1 浅色1"/>
    <w:basedOn w:val="852"/>
    <w:uiPriority w:val="99"/>
    <w:qFormat/>
    <w:tblPr/>
  </w:style>
  <w:style w:type="table" w:styleId="948" w:customStyle="1">
    <w:name w:val="清单表 21"/>
    <w:basedOn w:val="852"/>
    <w:uiPriority w:val="99"/>
    <w:qFormat/>
    <w:tblPr/>
  </w:style>
  <w:style w:type="table" w:styleId="949" w:customStyle="1">
    <w:name w:val="清单表 31"/>
    <w:basedOn w:val="852"/>
    <w:uiPriority w:val="99"/>
    <w:qFormat/>
    <w:tblPr/>
  </w:style>
  <w:style w:type="table" w:styleId="950" w:customStyle="1">
    <w:name w:val="清单表 41"/>
    <w:basedOn w:val="852"/>
    <w:uiPriority w:val="99"/>
    <w:qFormat/>
    <w:tblPr/>
  </w:style>
  <w:style w:type="table" w:styleId="951" w:customStyle="1">
    <w:name w:val="清单表 5 深色1"/>
    <w:basedOn w:val="852"/>
    <w:uiPriority w:val="99"/>
    <w:qFormat/>
    <w:tblPr/>
  </w:style>
  <w:style w:type="table" w:styleId="952" w:customStyle="1">
    <w:name w:val="清单表 6 彩色1"/>
    <w:basedOn w:val="852"/>
    <w:uiPriority w:val="99"/>
    <w:qFormat/>
    <w:tblPr/>
  </w:style>
  <w:style w:type="table" w:styleId="953" w:customStyle="1">
    <w:name w:val="清单表 7 彩色1"/>
    <w:basedOn w:val="852"/>
    <w:uiPriority w:val="99"/>
    <w:qFormat/>
    <w:tblPr/>
  </w:style>
  <w:style w:type="paragraph" w:styleId="954" w:customStyle="1">
    <w:name w:val="TOC 标题1"/>
    <w:uiPriority w:val="39"/>
    <w:unhideWhenUsed/>
    <w:qFormat/>
    <w:rPr>
      <w:rFonts w:ascii="Times New Roman" w:hAnsi="Times New Roman" w:eastAsia="宋体" w:cs="Times New Roman"/>
      <w:lang w:val="en-US" w:eastAsia="zh-CN" w:bidi="ar-SA"/>
    </w:rPr>
  </w:style>
  <w:style w:type="paragraph" w:styleId="955" w:customStyle="1">
    <w:name w:val="TOC 标题111"/>
    <w:uiPriority w:val="39"/>
    <w:unhideWhenUsed/>
    <w:qFormat/>
    <w:rPr>
      <w:rFonts w:ascii="Times New Roman" w:hAnsi="Times New Roman" w:eastAsia="宋体" w:cs="Times New Roman"/>
      <w:lang w:val="en-US" w:eastAsia="zh-CN" w:bidi="ar-SA"/>
    </w:rPr>
  </w:style>
  <w:style w:type="paragraph" w:styleId="956" w:customStyle="1">
    <w:name w:val="Normal_21"/>
    <w:basedOn w:val="957"/>
    <w:next w:val="957"/>
    <w:uiPriority w:val="0"/>
    <w:qFormat/>
    <w:rPr>
      <w:rFonts w:ascii="Times New Roman" w:hAnsi="Times New Roman"/>
      <w:szCs w:val="24"/>
    </w:rPr>
  </w:style>
  <w:style w:type="paragraph" w:styleId="95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58" w:customStyle="1">
    <w:name w:val="正文_17"/>
    <w:next w:val="959"/>
    <w:uiPriority w:val="0"/>
    <w:qFormat/>
    <w:pPr>
      <w:jc w:val="both"/>
      <w:widowControl w:val="off"/>
    </w:pPr>
    <w:rPr>
      <w:rFonts w:ascii="Times New Roman" w:hAnsi="Times New Roman" w:eastAsia="宋体" w:cs="Times New Roman"/>
      <w:sz w:val="21"/>
      <w:szCs w:val="22"/>
      <w:lang w:val="en-US" w:eastAsia="zh-CN" w:bidi="ar-SA"/>
    </w:rPr>
  </w:style>
  <w:style w:type="paragraph" w:styleId="959" w:customStyle="1">
    <w:name w:val="标题 4_1"/>
    <w:basedOn w:val="958"/>
    <w:next w:val="95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0" w:customStyle="1">
    <w:name w:val="Heading 1 Char"/>
    <w:uiPriority w:val="9"/>
    <w:qFormat/>
    <w:rPr>
      <w:rFonts w:ascii="Arial" w:hAnsi="Arial" w:eastAsia="Arial" w:cs="Arial"/>
      <w:sz w:val="40"/>
      <w:szCs w:val="40"/>
    </w:rPr>
  </w:style>
  <w:style w:type="character" w:styleId="961" w:customStyle="1">
    <w:name w:val="Heading 2 Char"/>
    <w:uiPriority w:val="9"/>
    <w:qFormat/>
    <w:rPr>
      <w:rFonts w:ascii="Arial" w:hAnsi="Arial" w:eastAsia="Arial" w:cs="Arial"/>
      <w:sz w:val="34"/>
    </w:rPr>
  </w:style>
  <w:style w:type="character" w:styleId="962" w:customStyle="1">
    <w:name w:val="Heading 3 Char"/>
    <w:uiPriority w:val="9"/>
    <w:qFormat/>
    <w:rPr>
      <w:rFonts w:ascii="Arial" w:hAnsi="Arial" w:eastAsia="Arial" w:cs="Arial"/>
      <w:sz w:val="30"/>
      <w:szCs w:val="30"/>
    </w:rPr>
  </w:style>
  <w:style w:type="character" w:styleId="963" w:customStyle="1">
    <w:name w:val="Heading 4 Char"/>
    <w:uiPriority w:val="9"/>
    <w:qFormat/>
    <w:rPr>
      <w:rFonts w:ascii="Arial" w:hAnsi="Arial" w:eastAsia="Arial" w:cs="Arial"/>
      <w:b/>
      <w:bCs/>
      <w:sz w:val="26"/>
      <w:szCs w:val="26"/>
    </w:rPr>
  </w:style>
  <w:style w:type="character" w:styleId="964" w:customStyle="1">
    <w:name w:val="Heading 5 Char"/>
    <w:uiPriority w:val="9"/>
    <w:qFormat/>
    <w:rPr>
      <w:rFonts w:ascii="Arial" w:hAnsi="Arial" w:eastAsia="Arial" w:cs="Arial"/>
      <w:b/>
      <w:bCs/>
      <w:sz w:val="24"/>
      <w:szCs w:val="24"/>
    </w:rPr>
  </w:style>
  <w:style w:type="character" w:styleId="965" w:customStyle="1">
    <w:name w:val="Heading 6 Char"/>
    <w:uiPriority w:val="9"/>
    <w:qFormat/>
    <w:rPr>
      <w:rFonts w:ascii="Arial" w:hAnsi="Arial" w:eastAsia="Arial" w:cs="Arial"/>
      <w:b/>
      <w:bCs/>
      <w:sz w:val="22"/>
      <w:szCs w:val="22"/>
    </w:rPr>
  </w:style>
  <w:style w:type="character" w:styleId="966" w:customStyle="1">
    <w:name w:val="Heading 7 Char"/>
    <w:uiPriority w:val="9"/>
    <w:qFormat/>
    <w:rPr>
      <w:rFonts w:ascii="Arial" w:hAnsi="Arial" w:eastAsia="Arial" w:cs="Arial"/>
      <w:b/>
      <w:bCs/>
      <w:i/>
      <w:iCs/>
      <w:sz w:val="22"/>
      <w:szCs w:val="22"/>
    </w:rPr>
  </w:style>
  <w:style w:type="character" w:styleId="967" w:customStyle="1">
    <w:name w:val="Heading 8 Char"/>
    <w:uiPriority w:val="9"/>
    <w:qFormat/>
    <w:rPr>
      <w:rFonts w:ascii="Arial" w:hAnsi="Arial" w:eastAsia="Arial" w:cs="Arial"/>
      <w:i/>
      <w:iCs/>
      <w:sz w:val="22"/>
      <w:szCs w:val="22"/>
    </w:rPr>
  </w:style>
  <w:style w:type="character" w:styleId="968" w:customStyle="1">
    <w:name w:val="Heading 9 Char"/>
    <w:uiPriority w:val="9"/>
    <w:qFormat/>
    <w:rPr>
      <w:rFonts w:ascii="Arial" w:hAnsi="Arial" w:eastAsia="Arial" w:cs="Arial"/>
      <w:i/>
      <w:iCs/>
      <w:sz w:val="21"/>
      <w:szCs w:val="21"/>
    </w:rPr>
  </w:style>
  <w:style w:type="character" w:styleId="969" w:customStyle="1">
    <w:name w:val="Title Char"/>
    <w:uiPriority w:val="10"/>
    <w:qFormat/>
    <w:rPr>
      <w:sz w:val="48"/>
      <w:szCs w:val="48"/>
    </w:rPr>
  </w:style>
  <w:style w:type="character" w:styleId="970" w:customStyle="1">
    <w:name w:val="Subtitle Char"/>
    <w:uiPriority w:val="11"/>
    <w:qFormat/>
    <w:rPr>
      <w:sz w:val="24"/>
      <w:szCs w:val="24"/>
    </w:rPr>
  </w:style>
  <w:style w:type="character" w:styleId="971" w:customStyle="1">
    <w:name w:val="Quote Char"/>
    <w:uiPriority w:val="29"/>
    <w:qFormat/>
    <w:rPr>
      <w:i/>
    </w:rPr>
  </w:style>
  <w:style w:type="character" w:styleId="972" w:customStyle="1">
    <w:name w:val="Intense Quote Char"/>
    <w:uiPriority w:val="30"/>
    <w:qFormat/>
    <w:rPr>
      <w:i/>
    </w:rPr>
  </w:style>
  <w:style w:type="character" w:styleId="973" w:customStyle="1">
    <w:name w:val="Caption Char"/>
    <w:uiPriority w:val="99"/>
    <w:qFormat/>
  </w:style>
  <w:style w:type="character" w:styleId="974" w:customStyle="1">
    <w:name w:val="Footnote Text Char"/>
    <w:uiPriority w:val="99"/>
    <w:qFormat/>
    <w:rPr>
      <w:sz w:val="18"/>
    </w:rPr>
  </w:style>
  <w:style w:type="character" w:styleId="975" w:customStyle="1">
    <w:name w:val="Endnote Text Char"/>
    <w:uiPriority w:val="99"/>
    <w:qFormat/>
    <w:rPr>
      <w:sz w:val="20"/>
    </w:rPr>
  </w:style>
  <w:style w:type="paragraph" w:styleId="976" w:customStyle="1">
    <w:name w:val="列表段落1"/>
    <w:basedOn w:val="798"/>
    <w:uiPriority w:val="0"/>
    <w:qFormat/>
    <w:pPr>
      <w:contextualSpacing/>
      <w:ind w:left="720"/>
    </w:pPr>
  </w:style>
  <w:style w:type="paragraph" w:styleId="977" w:customStyle="1">
    <w:name w:val="无间隔1"/>
    <w:uiPriority w:val="99"/>
    <w:qFormat/>
    <w:rPr>
      <w:rFonts w:ascii="Times New Roman" w:hAnsi="Times New Roman" w:eastAsia="宋体" w:cs="Times New Roman"/>
      <w:lang w:val="en-US" w:eastAsia="zh-CN" w:bidi="ar-SA"/>
    </w:rPr>
  </w:style>
  <w:style w:type="paragraph" w:styleId="978" w:customStyle="1">
    <w:name w:val="引用1"/>
    <w:basedOn w:val="798"/>
    <w:next w:val="798"/>
    <w:link w:val="979"/>
    <w:uiPriority w:val="29"/>
    <w:qFormat/>
    <w:pPr>
      <w:ind w:left="720" w:right="720"/>
    </w:pPr>
    <w:rPr>
      <w:i/>
    </w:rPr>
  </w:style>
  <w:style w:type="character" w:styleId="979" w:customStyle="1">
    <w:name w:val="引用 字符"/>
    <w:link w:val="978"/>
    <w:uiPriority w:val="29"/>
    <w:qFormat/>
    <w:rPr>
      <w:i/>
    </w:rPr>
  </w:style>
  <w:style w:type="paragraph" w:styleId="980" w:customStyle="1">
    <w:name w:val="明显引用1"/>
    <w:basedOn w:val="798"/>
    <w:next w:val="798"/>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1" w:customStyle="1">
    <w:name w:val="明显引用 字符"/>
    <w:link w:val="980"/>
    <w:uiPriority w:val="30"/>
    <w:qFormat/>
    <w:rPr>
      <w:i/>
    </w:rPr>
  </w:style>
  <w:style w:type="character" w:styleId="982" w:customStyle="1">
    <w:name w:val="Header Char"/>
    <w:uiPriority w:val="99"/>
    <w:qFormat/>
  </w:style>
  <w:style w:type="character" w:styleId="983" w:customStyle="1">
    <w:name w:val="Footer Char"/>
    <w:uiPriority w:val="99"/>
    <w:qFormat/>
  </w:style>
  <w:style w:type="table" w:styleId="984" w:customStyle="1">
    <w:name w:val="Table Grid Light"/>
    <w:basedOn w:val="852"/>
    <w:uiPriority w:val="59"/>
    <w:qFormat/>
    <w:tblPr/>
  </w:style>
  <w:style w:type="table" w:styleId="985" w:customStyle="1">
    <w:name w:val="Grid Table 1 Light - Accent 1"/>
    <w:basedOn w:val="852"/>
    <w:uiPriority w:val="99"/>
    <w:qFormat/>
    <w:tblPr/>
  </w:style>
  <w:style w:type="table" w:styleId="986" w:customStyle="1">
    <w:name w:val="Grid Table 1 Light - Accent 2"/>
    <w:basedOn w:val="852"/>
    <w:uiPriority w:val="99"/>
    <w:qFormat/>
    <w:tblPr/>
  </w:style>
  <w:style w:type="table" w:styleId="987" w:customStyle="1">
    <w:name w:val="Grid Table 1 Light - Accent 3"/>
    <w:basedOn w:val="852"/>
    <w:uiPriority w:val="99"/>
    <w:qFormat/>
    <w:tblPr/>
  </w:style>
  <w:style w:type="table" w:styleId="988" w:customStyle="1">
    <w:name w:val="Grid Table 1 Light - Accent 4"/>
    <w:basedOn w:val="852"/>
    <w:uiPriority w:val="99"/>
    <w:qFormat/>
    <w:tblPr/>
  </w:style>
  <w:style w:type="table" w:styleId="989" w:customStyle="1">
    <w:name w:val="Grid Table 1 Light - Accent 5"/>
    <w:basedOn w:val="852"/>
    <w:uiPriority w:val="99"/>
    <w:qFormat/>
    <w:tblPr/>
  </w:style>
  <w:style w:type="table" w:styleId="990" w:customStyle="1">
    <w:name w:val="Grid Table 1 Light - Accent 6"/>
    <w:basedOn w:val="852"/>
    <w:uiPriority w:val="99"/>
    <w:qFormat/>
    <w:tblPr/>
  </w:style>
  <w:style w:type="table" w:styleId="991" w:customStyle="1">
    <w:name w:val="Grid Table 2 - Accent 1"/>
    <w:basedOn w:val="852"/>
    <w:uiPriority w:val="99"/>
    <w:qFormat/>
    <w:tblPr/>
  </w:style>
  <w:style w:type="table" w:styleId="992" w:customStyle="1">
    <w:name w:val="Grid Table 2 - Accent 2"/>
    <w:basedOn w:val="852"/>
    <w:uiPriority w:val="99"/>
    <w:qFormat/>
    <w:tblPr/>
  </w:style>
  <w:style w:type="table" w:styleId="993" w:customStyle="1">
    <w:name w:val="Grid Table 2 - Accent 3"/>
    <w:basedOn w:val="852"/>
    <w:uiPriority w:val="99"/>
    <w:qFormat/>
    <w:tblPr/>
  </w:style>
  <w:style w:type="table" w:styleId="994" w:customStyle="1">
    <w:name w:val="Grid Table 2 - Accent 4"/>
    <w:basedOn w:val="852"/>
    <w:uiPriority w:val="99"/>
    <w:qFormat/>
    <w:tblPr/>
  </w:style>
  <w:style w:type="table" w:styleId="995" w:customStyle="1">
    <w:name w:val="Grid Table 2 - Accent 5"/>
    <w:basedOn w:val="852"/>
    <w:uiPriority w:val="99"/>
    <w:qFormat/>
    <w:tblPr/>
  </w:style>
  <w:style w:type="table" w:styleId="996" w:customStyle="1">
    <w:name w:val="Grid Table 2 - Accent 6"/>
    <w:basedOn w:val="852"/>
    <w:uiPriority w:val="99"/>
    <w:qFormat/>
    <w:tblPr/>
  </w:style>
  <w:style w:type="table" w:styleId="997" w:customStyle="1">
    <w:name w:val="Grid Table 3 - Accent 1"/>
    <w:basedOn w:val="852"/>
    <w:uiPriority w:val="99"/>
    <w:qFormat/>
    <w:tblPr/>
  </w:style>
  <w:style w:type="table" w:styleId="998" w:customStyle="1">
    <w:name w:val="Grid Table 3 - Accent 2"/>
    <w:basedOn w:val="852"/>
    <w:uiPriority w:val="99"/>
    <w:qFormat/>
    <w:tblPr/>
  </w:style>
  <w:style w:type="table" w:styleId="999" w:customStyle="1">
    <w:name w:val="Grid Table 3 - Accent 3"/>
    <w:basedOn w:val="852"/>
    <w:uiPriority w:val="99"/>
    <w:qFormat/>
    <w:tblPr/>
  </w:style>
  <w:style w:type="table" w:styleId="1000" w:customStyle="1">
    <w:name w:val="Grid Table 3 - Accent 4"/>
    <w:basedOn w:val="852"/>
    <w:uiPriority w:val="99"/>
    <w:qFormat/>
    <w:tblPr/>
  </w:style>
  <w:style w:type="table" w:styleId="1001" w:customStyle="1">
    <w:name w:val="Grid Table 3 - Accent 5"/>
    <w:basedOn w:val="852"/>
    <w:uiPriority w:val="99"/>
    <w:qFormat/>
    <w:tblPr/>
  </w:style>
  <w:style w:type="table" w:styleId="1002" w:customStyle="1">
    <w:name w:val="Grid Table 3 - Accent 6"/>
    <w:basedOn w:val="852"/>
    <w:uiPriority w:val="99"/>
    <w:qFormat/>
    <w:tblPr/>
  </w:style>
  <w:style w:type="table" w:styleId="1003" w:customStyle="1">
    <w:name w:val="Grid Table 4 - Accent 1"/>
    <w:basedOn w:val="852"/>
    <w:uiPriority w:val="59"/>
    <w:qFormat/>
    <w:tblPr/>
  </w:style>
  <w:style w:type="table" w:styleId="1004" w:customStyle="1">
    <w:name w:val="Grid Table 4 - Accent 2"/>
    <w:basedOn w:val="852"/>
    <w:uiPriority w:val="59"/>
    <w:qFormat/>
    <w:tblPr/>
  </w:style>
  <w:style w:type="table" w:styleId="1005" w:customStyle="1">
    <w:name w:val="Grid Table 4 - Accent 3"/>
    <w:basedOn w:val="852"/>
    <w:uiPriority w:val="59"/>
    <w:qFormat/>
    <w:tblPr/>
  </w:style>
  <w:style w:type="table" w:styleId="1006" w:customStyle="1">
    <w:name w:val="Grid Table 4 - Accent 4"/>
    <w:basedOn w:val="852"/>
    <w:uiPriority w:val="59"/>
    <w:qFormat/>
    <w:tblPr/>
  </w:style>
  <w:style w:type="table" w:styleId="1007" w:customStyle="1">
    <w:name w:val="Grid Table 4 - Accent 5"/>
    <w:basedOn w:val="852"/>
    <w:uiPriority w:val="59"/>
    <w:qFormat/>
    <w:tblPr/>
  </w:style>
  <w:style w:type="table" w:styleId="1008" w:customStyle="1">
    <w:name w:val="Grid Table 4 - Accent 6"/>
    <w:basedOn w:val="852"/>
    <w:uiPriority w:val="59"/>
    <w:qFormat/>
    <w:tblPr/>
  </w:style>
  <w:style w:type="table" w:styleId="1009" w:customStyle="1">
    <w:name w:val="Grid Table 5 Dark- Accent 1"/>
    <w:basedOn w:val="852"/>
    <w:uiPriority w:val="99"/>
    <w:qFormat/>
    <w:tblPr/>
  </w:style>
  <w:style w:type="table" w:styleId="1010" w:customStyle="1">
    <w:name w:val="Grid Table 5 Dark - Accent 2"/>
    <w:basedOn w:val="852"/>
    <w:uiPriority w:val="99"/>
    <w:qFormat/>
    <w:tblPr/>
  </w:style>
  <w:style w:type="table" w:styleId="1011" w:customStyle="1">
    <w:name w:val="Grid Table 5 Dark - Accent 3"/>
    <w:basedOn w:val="852"/>
    <w:uiPriority w:val="99"/>
    <w:qFormat/>
    <w:tblPr/>
  </w:style>
  <w:style w:type="table" w:styleId="1012" w:customStyle="1">
    <w:name w:val="Grid Table 5 Dark- Accent 4"/>
    <w:basedOn w:val="852"/>
    <w:uiPriority w:val="99"/>
    <w:qFormat/>
    <w:tblPr/>
  </w:style>
  <w:style w:type="table" w:styleId="1013" w:customStyle="1">
    <w:name w:val="Grid Table 5 Dark - Accent 5"/>
    <w:basedOn w:val="852"/>
    <w:uiPriority w:val="99"/>
    <w:qFormat/>
    <w:tblPr/>
  </w:style>
  <w:style w:type="table" w:styleId="1014" w:customStyle="1">
    <w:name w:val="Grid Table 5 Dark - Accent 6"/>
    <w:basedOn w:val="852"/>
    <w:uiPriority w:val="99"/>
    <w:qFormat/>
    <w:tblPr/>
  </w:style>
  <w:style w:type="table" w:styleId="1015" w:customStyle="1">
    <w:name w:val="Grid Table 6 Colorful - Accent 1"/>
    <w:basedOn w:val="852"/>
    <w:uiPriority w:val="99"/>
    <w:qFormat/>
    <w:tblPr/>
  </w:style>
  <w:style w:type="table" w:styleId="1016" w:customStyle="1">
    <w:name w:val="Grid Table 6 Colorful - Accent 2"/>
    <w:basedOn w:val="852"/>
    <w:uiPriority w:val="99"/>
    <w:qFormat/>
    <w:tblPr/>
  </w:style>
  <w:style w:type="table" w:styleId="1017" w:customStyle="1">
    <w:name w:val="Grid Table 6 Colorful - Accent 3"/>
    <w:basedOn w:val="852"/>
    <w:uiPriority w:val="99"/>
    <w:qFormat/>
    <w:tblPr/>
  </w:style>
  <w:style w:type="table" w:styleId="1018" w:customStyle="1">
    <w:name w:val="Grid Table 6 Colorful - Accent 4"/>
    <w:basedOn w:val="852"/>
    <w:uiPriority w:val="99"/>
    <w:qFormat/>
    <w:tblPr/>
  </w:style>
  <w:style w:type="table" w:styleId="1019" w:customStyle="1">
    <w:name w:val="Grid Table 6 Colorful - Accent 5"/>
    <w:basedOn w:val="852"/>
    <w:uiPriority w:val="99"/>
    <w:qFormat/>
    <w:tblPr/>
  </w:style>
  <w:style w:type="table" w:styleId="1020" w:customStyle="1">
    <w:name w:val="Grid Table 6 Colorful - Accent 6"/>
    <w:basedOn w:val="852"/>
    <w:uiPriority w:val="99"/>
    <w:qFormat/>
    <w:tblPr/>
  </w:style>
  <w:style w:type="table" w:styleId="1021" w:customStyle="1">
    <w:name w:val="Grid Table 7 Colorful - Accent 1"/>
    <w:basedOn w:val="852"/>
    <w:uiPriority w:val="99"/>
    <w:qFormat/>
    <w:tblPr/>
  </w:style>
  <w:style w:type="table" w:styleId="1022" w:customStyle="1">
    <w:name w:val="Grid Table 7 Colorful - Accent 2"/>
    <w:basedOn w:val="852"/>
    <w:uiPriority w:val="99"/>
    <w:qFormat/>
    <w:tblPr/>
  </w:style>
  <w:style w:type="table" w:styleId="1023" w:customStyle="1">
    <w:name w:val="Grid Table 7 Colorful - Accent 3"/>
    <w:basedOn w:val="852"/>
    <w:uiPriority w:val="99"/>
    <w:qFormat/>
    <w:tblPr/>
  </w:style>
  <w:style w:type="table" w:styleId="1024" w:customStyle="1">
    <w:name w:val="Grid Table 7 Colorful - Accent 4"/>
    <w:basedOn w:val="852"/>
    <w:uiPriority w:val="99"/>
    <w:qFormat/>
    <w:tblPr/>
  </w:style>
  <w:style w:type="table" w:styleId="1025" w:customStyle="1">
    <w:name w:val="Grid Table 7 Colorful - Accent 5"/>
    <w:basedOn w:val="852"/>
    <w:uiPriority w:val="99"/>
    <w:qFormat/>
    <w:tblPr/>
  </w:style>
  <w:style w:type="table" w:styleId="1026" w:customStyle="1">
    <w:name w:val="Grid Table 7 Colorful - Accent 6"/>
    <w:basedOn w:val="852"/>
    <w:uiPriority w:val="99"/>
    <w:qFormat/>
    <w:tblPr/>
  </w:style>
  <w:style w:type="table" w:styleId="1027" w:customStyle="1">
    <w:name w:val="List Table 1 Light - Accent 1"/>
    <w:basedOn w:val="852"/>
    <w:uiPriority w:val="99"/>
    <w:qFormat/>
    <w:tblPr/>
  </w:style>
  <w:style w:type="table" w:styleId="1028" w:customStyle="1">
    <w:name w:val="List Table 1 Light - Accent 2"/>
    <w:basedOn w:val="852"/>
    <w:uiPriority w:val="99"/>
    <w:qFormat/>
    <w:tblPr/>
  </w:style>
  <w:style w:type="table" w:styleId="1029" w:customStyle="1">
    <w:name w:val="List Table 1 Light - Accent 3"/>
    <w:basedOn w:val="852"/>
    <w:uiPriority w:val="99"/>
    <w:qFormat/>
    <w:tblPr/>
  </w:style>
  <w:style w:type="table" w:styleId="1030" w:customStyle="1">
    <w:name w:val="List Table 1 Light - Accent 4"/>
    <w:basedOn w:val="852"/>
    <w:uiPriority w:val="99"/>
    <w:qFormat/>
    <w:tblPr/>
  </w:style>
  <w:style w:type="table" w:styleId="1031" w:customStyle="1">
    <w:name w:val="List Table 1 Light - Accent 5"/>
    <w:basedOn w:val="852"/>
    <w:uiPriority w:val="99"/>
    <w:qFormat/>
    <w:tblPr/>
  </w:style>
  <w:style w:type="table" w:styleId="1032" w:customStyle="1">
    <w:name w:val="List Table 1 Light - Accent 6"/>
    <w:basedOn w:val="852"/>
    <w:uiPriority w:val="99"/>
    <w:qFormat/>
    <w:tblPr/>
  </w:style>
  <w:style w:type="table" w:styleId="1033" w:customStyle="1">
    <w:name w:val="List Table 2 - Accent 1"/>
    <w:basedOn w:val="852"/>
    <w:uiPriority w:val="99"/>
    <w:qFormat/>
    <w:tblPr/>
  </w:style>
  <w:style w:type="table" w:styleId="1034" w:customStyle="1">
    <w:name w:val="List Table 2 - Accent 2"/>
    <w:basedOn w:val="852"/>
    <w:uiPriority w:val="99"/>
    <w:qFormat/>
    <w:tblPr/>
  </w:style>
  <w:style w:type="table" w:styleId="1035" w:customStyle="1">
    <w:name w:val="List Table 2 - Accent 3"/>
    <w:basedOn w:val="852"/>
    <w:uiPriority w:val="99"/>
    <w:qFormat/>
    <w:tblPr/>
  </w:style>
  <w:style w:type="table" w:styleId="1036" w:customStyle="1">
    <w:name w:val="List Table 2 - Accent 4"/>
    <w:basedOn w:val="852"/>
    <w:uiPriority w:val="99"/>
    <w:qFormat/>
    <w:tblPr/>
  </w:style>
  <w:style w:type="table" w:styleId="1037" w:customStyle="1">
    <w:name w:val="List Table 2 - Accent 5"/>
    <w:basedOn w:val="852"/>
    <w:uiPriority w:val="99"/>
    <w:qFormat/>
    <w:tblPr/>
  </w:style>
  <w:style w:type="table" w:styleId="1038" w:customStyle="1">
    <w:name w:val="List Table 2 - Accent 6"/>
    <w:basedOn w:val="852"/>
    <w:uiPriority w:val="99"/>
    <w:qFormat/>
    <w:tblPr/>
  </w:style>
  <w:style w:type="table" w:styleId="1039" w:customStyle="1">
    <w:name w:val="List Table 3 - Accent 1"/>
    <w:basedOn w:val="852"/>
    <w:uiPriority w:val="99"/>
    <w:qFormat/>
    <w:tblPr/>
  </w:style>
  <w:style w:type="table" w:styleId="1040" w:customStyle="1">
    <w:name w:val="List Table 3 - Accent 2"/>
    <w:basedOn w:val="852"/>
    <w:uiPriority w:val="99"/>
    <w:qFormat/>
    <w:tblPr/>
  </w:style>
  <w:style w:type="table" w:styleId="1041" w:customStyle="1">
    <w:name w:val="List Table 3 - Accent 3"/>
    <w:basedOn w:val="852"/>
    <w:uiPriority w:val="99"/>
    <w:qFormat/>
    <w:tblPr/>
  </w:style>
  <w:style w:type="table" w:styleId="1042" w:customStyle="1">
    <w:name w:val="List Table 3 - Accent 4"/>
    <w:basedOn w:val="852"/>
    <w:uiPriority w:val="99"/>
    <w:qFormat/>
    <w:tblPr/>
  </w:style>
  <w:style w:type="table" w:styleId="1043" w:customStyle="1">
    <w:name w:val="List Table 3 - Accent 5"/>
    <w:basedOn w:val="852"/>
    <w:uiPriority w:val="99"/>
    <w:qFormat/>
    <w:tblPr/>
  </w:style>
  <w:style w:type="table" w:styleId="1044" w:customStyle="1">
    <w:name w:val="List Table 3 - Accent 6"/>
    <w:basedOn w:val="852"/>
    <w:uiPriority w:val="99"/>
    <w:qFormat/>
    <w:tblPr/>
  </w:style>
  <w:style w:type="table" w:styleId="1045" w:customStyle="1">
    <w:name w:val="List Table 4 - Accent 1"/>
    <w:basedOn w:val="852"/>
    <w:uiPriority w:val="99"/>
    <w:qFormat/>
    <w:tblPr/>
  </w:style>
  <w:style w:type="table" w:styleId="1046" w:customStyle="1">
    <w:name w:val="List Table 4 - Accent 2"/>
    <w:basedOn w:val="852"/>
    <w:uiPriority w:val="99"/>
    <w:qFormat/>
    <w:tblPr/>
  </w:style>
  <w:style w:type="table" w:styleId="1047" w:customStyle="1">
    <w:name w:val="List Table 4 - Accent 3"/>
    <w:basedOn w:val="852"/>
    <w:uiPriority w:val="99"/>
    <w:qFormat/>
    <w:tblPr/>
  </w:style>
  <w:style w:type="table" w:styleId="1048" w:customStyle="1">
    <w:name w:val="List Table 4 - Accent 4"/>
    <w:basedOn w:val="852"/>
    <w:uiPriority w:val="99"/>
    <w:qFormat/>
    <w:tblPr/>
  </w:style>
  <w:style w:type="table" w:styleId="1049" w:customStyle="1">
    <w:name w:val="List Table 4 - Accent 5"/>
    <w:basedOn w:val="852"/>
    <w:uiPriority w:val="99"/>
    <w:qFormat/>
    <w:tblPr/>
  </w:style>
  <w:style w:type="table" w:styleId="1050" w:customStyle="1">
    <w:name w:val="List Table 4 - Accent 6"/>
    <w:basedOn w:val="852"/>
    <w:uiPriority w:val="99"/>
    <w:qFormat/>
    <w:tblPr/>
  </w:style>
  <w:style w:type="table" w:styleId="1051" w:customStyle="1">
    <w:name w:val="List Table 5 Dark - Accent 1"/>
    <w:basedOn w:val="852"/>
    <w:uiPriority w:val="99"/>
    <w:qFormat/>
    <w:tblPr/>
  </w:style>
  <w:style w:type="table" w:styleId="1052" w:customStyle="1">
    <w:name w:val="List Table 5 Dark - Accent 2"/>
    <w:basedOn w:val="852"/>
    <w:uiPriority w:val="99"/>
    <w:qFormat/>
    <w:tblPr/>
  </w:style>
  <w:style w:type="table" w:styleId="1053" w:customStyle="1">
    <w:name w:val="List Table 5 Dark - Accent 3"/>
    <w:basedOn w:val="852"/>
    <w:uiPriority w:val="99"/>
    <w:qFormat/>
    <w:tblPr/>
  </w:style>
  <w:style w:type="table" w:styleId="1054" w:customStyle="1">
    <w:name w:val="List Table 5 Dark - Accent 4"/>
    <w:basedOn w:val="852"/>
    <w:uiPriority w:val="99"/>
    <w:qFormat/>
    <w:tblPr/>
  </w:style>
  <w:style w:type="table" w:styleId="1055" w:customStyle="1">
    <w:name w:val="List Table 5 Dark - Accent 5"/>
    <w:basedOn w:val="852"/>
    <w:uiPriority w:val="99"/>
    <w:qFormat/>
    <w:tblPr/>
  </w:style>
  <w:style w:type="table" w:styleId="1056" w:customStyle="1">
    <w:name w:val="List Table 5 Dark - Accent 6"/>
    <w:basedOn w:val="852"/>
    <w:uiPriority w:val="99"/>
    <w:qFormat/>
    <w:tblPr/>
  </w:style>
  <w:style w:type="table" w:styleId="1057" w:customStyle="1">
    <w:name w:val="List Table 6 Colorful - Accent 1"/>
    <w:basedOn w:val="852"/>
    <w:uiPriority w:val="99"/>
    <w:qFormat/>
    <w:tblPr/>
  </w:style>
  <w:style w:type="table" w:styleId="1058" w:customStyle="1">
    <w:name w:val="List Table 6 Colorful - Accent 2"/>
    <w:basedOn w:val="852"/>
    <w:uiPriority w:val="99"/>
    <w:qFormat/>
    <w:tblPr/>
  </w:style>
  <w:style w:type="table" w:styleId="1059" w:customStyle="1">
    <w:name w:val="List Table 6 Colorful - Accent 3"/>
    <w:basedOn w:val="852"/>
    <w:uiPriority w:val="99"/>
    <w:qFormat/>
    <w:tblPr/>
  </w:style>
  <w:style w:type="table" w:styleId="1060" w:customStyle="1">
    <w:name w:val="List Table 6 Colorful - Accent 4"/>
    <w:basedOn w:val="852"/>
    <w:uiPriority w:val="99"/>
    <w:qFormat/>
    <w:tblPr/>
  </w:style>
  <w:style w:type="table" w:styleId="1061" w:customStyle="1">
    <w:name w:val="List Table 6 Colorful - Accent 5"/>
    <w:basedOn w:val="852"/>
    <w:uiPriority w:val="99"/>
    <w:qFormat/>
    <w:tblPr/>
  </w:style>
  <w:style w:type="table" w:styleId="1062" w:customStyle="1">
    <w:name w:val="List Table 6 Colorful - Accent 6"/>
    <w:basedOn w:val="852"/>
    <w:uiPriority w:val="99"/>
    <w:qFormat/>
    <w:tblPr/>
  </w:style>
  <w:style w:type="table" w:styleId="1063" w:customStyle="1">
    <w:name w:val="List Table 7 Colorful - Accent 1"/>
    <w:basedOn w:val="852"/>
    <w:uiPriority w:val="99"/>
    <w:qFormat/>
    <w:tblPr/>
  </w:style>
  <w:style w:type="table" w:styleId="1064" w:customStyle="1">
    <w:name w:val="List Table 7 Colorful - Accent 2"/>
    <w:basedOn w:val="852"/>
    <w:uiPriority w:val="99"/>
    <w:qFormat/>
    <w:tblPr/>
  </w:style>
  <w:style w:type="table" w:styleId="1065" w:customStyle="1">
    <w:name w:val="List Table 7 Colorful - Accent 3"/>
    <w:basedOn w:val="852"/>
    <w:uiPriority w:val="99"/>
    <w:qFormat/>
    <w:tblPr/>
  </w:style>
  <w:style w:type="table" w:styleId="1066" w:customStyle="1">
    <w:name w:val="List Table 7 Colorful - Accent 4"/>
    <w:basedOn w:val="852"/>
    <w:uiPriority w:val="99"/>
    <w:qFormat/>
    <w:tblPr/>
  </w:style>
  <w:style w:type="table" w:styleId="1067" w:customStyle="1">
    <w:name w:val="List Table 7 Colorful - Accent 5"/>
    <w:basedOn w:val="852"/>
    <w:uiPriority w:val="99"/>
    <w:qFormat/>
    <w:tblPr/>
  </w:style>
  <w:style w:type="table" w:styleId="1068" w:customStyle="1">
    <w:name w:val="List Table 7 Colorful - Accent 6"/>
    <w:basedOn w:val="852"/>
    <w:uiPriority w:val="99"/>
    <w:qFormat/>
    <w:tblPr/>
  </w:style>
  <w:style w:type="table" w:styleId="1069" w:customStyle="1">
    <w:name w:val="Lined - Accent"/>
    <w:basedOn w:val="852"/>
    <w:uiPriority w:val="99"/>
    <w:qFormat/>
    <w:rPr>
      <w:color w:val="404040"/>
    </w:rPr>
    <w:tblPr/>
  </w:style>
  <w:style w:type="table" w:styleId="1070" w:customStyle="1">
    <w:name w:val="Lined - Accent 1"/>
    <w:basedOn w:val="852"/>
    <w:uiPriority w:val="99"/>
    <w:qFormat/>
    <w:rPr>
      <w:color w:val="404040"/>
    </w:rPr>
    <w:tblPr/>
  </w:style>
  <w:style w:type="table" w:styleId="1071" w:customStyle="1">
    <w:name w:val="Lined - Accent 2"/>
    <w:basedOn w:val="852"/>
    <w:uiPriority w:val="99"/>
    <w:qFormat/>
    <w:rPr>
      <w:color w:val="404040"/>
    </w:rPr>
    <w:tblPr/>
  </w:style>
  <w:style w:type="table" w:styleId="1072" w:customStyle="1">
    <w:name w:val="Lined - Accent 3"/>
    <w:basedOn w:val="852"/>
    <w:uiPriority w:val="99"/>
    <w:qFormat/>
    <w:rPr>
      <w:color w:val="404040"/>
    </w:rPr>
    <w:tblPr/>
  </w:style>
  <w:style w:type="table" w:styleId="1073" w:customStyle="1">
    <w:name w:val="Lined - Accent 4"/>
    <w:basedOn w:val="852"/>
    <w:uiPriority w:val="99"/>
    <w:qFormat/>
    <w:rPr>
      <w:color w:val="404040"/>
    </w:rPr>
    <w:tblPr/>
  </w:style>
  <w:style w:type="table" w:styleId="1074" w:customStyle="1">
    <w:name w:val="Lined - Accent 5"/>
    <w:basedOn w:val="852"/>
    <w:uiPriority w:val="99"/>
    <w:qFormat/>
    <w:rPr>
      <w:color w:val="404040"/>
    </w:rPr>
    <w:tblPr/>
  </w:style>
  <w:style w:type="table" w:styleId="1075" w:customStyle="1">
    <w:name w:val="Lined - Accent 6"/>
    <w:basedOn w:val="852"/>
    <w:uiPriority w:val="99"/>
    <w:qFormat/>
    <w:rPr>
      <w:color w:val="404040"/>
    </w:rPr>
    <w:tblPr/>
  </w:style>
  <w:style w:type="table" w:styleId="1076" w:customStyle="1">
    <w:name w:val="Bordered &amp; Lined - Accent"/>
    <w:basedOn w:val="852"/>
    <w:uiPriority w:val="99"/>
    <w:qFormat/>
    <w:rPr>
      <w:color w:val="404040"/>
    </w:rPr>
    <w:tblPr/>
  </w:style>
  <w:style w:type="table" w:styleId="1077" w:customStyle="1">
    <w:name w:val="Bordered &amp; Lined - Accent 1"/>
    <w:basedOn w:val="852"/>
    <w:uiPriority w:val="99"/>
    <w:qFormat/>
    <w:rPr>
      <w:color w:val="404040"/>
    </w:rPr>
    <w:tblPr/>
  </w:style>
  <w:style w:type="table" w:styleId="1078" w:customStyle="1">
    <w:name w:val="Bordered &amp; Lined - Accent 2"/>
    <w:basedOn w:val="852"/>
    <w:uiPriority w:val="99"/>
    <w:qFormat/>
    <w:rPr>
      <w:color w:val="404040"/>
    </w:rPr>
    <w:tblPr/>
  </w:style>
  <w:style w:type="table" w:styleId="1079" w:customStyle="1">
    <w:name w:val="Bordered &amp; Lined - Accent 3"/>
    <w:basedOn w:val="852"/>
    <w:uiPriority w:val="99"/>
    <w:qFormat/>
    <w:rPr>
      <w:color w:val="404040"/>
    </w:rPr>
    <w:tblPr/>
  </w:style>
  <w:style w:type="table" w:styleId="1080" w:customStyle="1">
    <w:name w:val="Bordered &amp; Lined - Accent 4"/>
    <w:basedOn w:val="852"/>
    <w:uiPriority w:val="99"/>
    <w:qFormat/>
    <w:rPr>
      <w:color w:val="404040"/>
    </w:rPr>
    <w:tblPr/>
  </w:style>
  <w:style w:type="table" w:styleId="1081" w:customStyle="1">
    <w:name w:val="Bordered &amp; Lined - Accent 5"/>
    <w:basedOn w:val="852"/>
    <w:uiPriority w:val="99"/>
    <w:qFormat/>
    <w:rPr>
      <w:color w:val="404040"/>
    </w:rPr>
    <w:tblPr/>
  </w:style>
  <w:style w:type="table" w:styleId="1082" w:customStyle="1">
    <w:name w:val="Bordered &amp; Lined - Accent 6"/>
    <w:basedOn w:val="852"/>
    <w:uiPriority w:val="99"/>
    <w:qFormat/>
    <w:rPr>
      <w:color w:val="404040"/>
    </w:rPr>
    <w:tblPr/>
  </w:style>
  <w:style w:type="table" w:styleId="1083" w:customStyle="1">
    <w:name w:val="Bordered"/>
    <w:basedOn w:val="852"/>
    <w:uiPriority w:val="99"/>
    <w:qFormat/>
    <w:tblPr/>
  </w:style>
  <w:style w:type="table" w:styleId="1084" w:customStyle="1">
    <w:name w:val="Bordered - Accent 1"/>
    <w:basedOn w:val="852"/>
    <w:uiPriority w:val="99"/>
    <w:qFormat/>
    <w:tblPr/>
  </w:style>
  <w:style w:type="table" w:styleId="1085" w:customStyle="1">
    <w:name w:val="Bordered - Accent 2"/>
    <w:basedOn w:val="852"/>
    <w:uiPriority w:val="99"/>
    <w:qFormat/>
    <w:tblPr/>
  </w:style>
  <w:style w:type="table" w:styleId="1086" w:customStyle="1">
    <w:name w:val="Bordered - Accent 3"/>
    <w:basedOn w:val="852"/>
    <w:uiPriority w:val="99"/>
    <w:qFormat/>
    <w:tblPr/>
  </w:style>
  <w:style w:type="table" w:styleId="1087" w:customStyle="1">
    <w:name w:val="Bordered - Accent 4"/>
    <w:basedOn w:val="852"/>
    <w:uiPriority w:val="99"/>
    <w:qFormat/>
    <w:tblPr/>
  </w:style>
  <w:style w:type="table" w:styleId="1088" w:customStyle="1">
    <w:name w:val="Bordered - Accent 5"/>
    <w:basedOn w:val="852"/>
    <w:uiPriority w:val="99"/>
    <w:qFormat/>
    <w:tblPr/>
  </w:style>
  <w:style w:type="table" w:styleId="1089" w:customStyle="1">
    <w:name w:val="Bordered - Accent 6"/>
    <w:basedOn w:val="852"/>
    <w:uiPriority w:val="99"/>
    <w:qFormat/>
    <w:tblPr/>
  </w:style>
  <w:style w:type="paragraph" w:styleId="1090" w:customStyle="1">
    <w:name w:val="TOC 标题11"/>
    <w:uiPriority w:val="39"/>
    <w:unhideWhenUsed/>
    <w:qFormat/>
    <w:rPr>
      <w:rFonts w:ascii="Times New Roman" w:hAnsi="Times New Roman" w:eastAsia="宋体" w:cs="Times New Roman"/>
      <w:lang w:val="en-US" w:eastAsia="zh-CN" w:bidi="ar-SA"/>
    </w:rPr>
  </w:style>
  <w:style w:type="paragraph" w:styleId="1091" w:customStyle="1">
    <w:name w:val="Normal_0"/>
    <w:uiPriority w:val="0"/>
    <w:qFormat/>
    <w:rPr>
      <w:rFonts w:ascii="黑体" w:hAnsi="黑体" w:eastAsia="黑体" w:cs="Times New Roman"/>
      <w:b/>
      <w:sz w:val="32"/>
      <w:szCs w:val="24"/>
      <w:lang w:val="en-US" w:eastAsia="zh-CN" w:bidi="ar-SA"/>
    </w:rPr>
  </w:style>
  <w:style w:type="paragraph" w:styleId="1092" w:customStyle="1">
    <w:name w:val="正文1"/>
    <w:next w:val="842"/>
    <w:uiPriority w:val="0"/>
    <w:qFormat/>
    <w:rPr>
      <w:rFonts w:ascii="Times New Roman" w:hAnsi="Times New Roman" w:eastAsia="Times New Roman" w:cs="Times New Roman"/>
      <w:sz w:val="24"/>
      <w:szCs w:val="24"/>
      <w:lang w:val="en-US" w:eastAsia="zh-CN" w:bidi="ar-SA"/>
    </w:rPr>
  </w:style>
  <w:style w:type="paragraph" w:styleId="1093" w:customStyle="1">
    <w:name w:val="Normal_0_3"/>
    <w:uiPriority w:val="0"/>
    <w:qFormat/>
    <w:rPr>
      <w:rFonts w:ascii="黑体" w:hAnsi="黑体" w:eastAsia="黑体" w:cs="黑体"/>
      <w:b/>
      <w:sz w:val="32"/>
      <w:szCs w:val="24"/>
      <w:lang w:val="en-US" w:eastAsia="zh-CN" w:bidi="ar-SA"/>
    </w:rPr>
  </w:style>
  <w:style w:type="paragraph" w:styleId="1094" w:customStyle="1">
    <w:name w:val="正文首行缩进 2_0"/>
    <w:basedOn w:val="1095"/>
    <w:uiPriority w:val="0"/>
    <w:qFormat/>
    <w:pPr>
      <w:ind w:left="200" w:firstLine="200"/>
      <w:spacing w:after="120"/>
    </w:pPr>
    <w:rPr>
      <w:rFonts w:ascii="Times New Roman" w:hAnsi="Times New Roman"/>
      <w:sz w:val="24"/>
      <w:szCs w:val="24"/>
    </w:rPr>
  </w:style>
  <w:style w:type="paragraph" w:styleId="1095" w:customStyle="1">
    <w:name w:val="正文文本缩进_0"/>
    <w:basedOn w:val="1096"/>
    <w:uiPriority w:val="0"/>
    <w:qFormat/>
    <w:pPr>
      <w:ind w:firstLine="225"/>
    </w:pPr>
    <w:rPr>
      <w:rFonts w:ascii="仿宋_GB2312" w:eastAsia="仿宋_GB2312"/>
      <w:sz w:val="32"/>
    </w:rPr>
  </w:style>
  <w:style w:type="paragraph" w:styleId="1096" w:customStyle="1">
    <w:name w:val="正文_2"/>
    <w:next w:val="1095"/>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Normal_0_2"/>
    <w:next w:val="1098"/>
    <w:uiPriority w:val="0"/>
    <w:qFormat/>
    <w:rPr>
      <w:rFonts w:ascii="黑体" w:hAnsi="黑体" w:eastAsia="黑体" w:cs="黑体"/>
      <w:b/>
      <w:sz w:val="32"/>
      <w:szCs w:val="24"/>
      <w:lang w:val="en-US" w:eastAsia="zh-CN" w:bidi="ar-SA"/>
    </w:rPr>
  </w:style>
  <w:style w:type="paragraph" w:styleId="1098" w:customStyle="1">
    <w:name w:val="Body Text First Indent_1"/>
    <w:basedOn w:val="844"/>
    <w:uiPriority w:val="99"/>
    <w:unhideWhenUsed/>
    <w:qFormat/>
    <w:pPr>
      <w:ind w:firstLine="420"/>
      <w:spacing w:after="120"/>
    </w:pPr>
    <w:rPr>
      <w:rFonts w:eastAsia="Times New Roman"/>
    </w:rPr>
  </w:style>
  <w:style w:type="paragraph" w:styleId="1099" w:customStyle="1">
    <w:name w:val="Normal_1_2"/>
    <w:uiPriority w:val="0"/>
    <w:qFormat/>
    <w:rPr>
      <w:rFonts w:ascii="Times New Roman" w:hAnsi="Times New Roman" w:eastAsia="Times New Roman" w:cs="Times New Roman"/>
      <w:sz w:val="24"/>
      <w:szCs w:val="24"/>
      <w:lang w:val="en-US" w:eastAsia="zh-CN" w:bidi="ar-SA"/>
    </w:rPr>
  </w:style>
  <w:style w:type="paragraph" w:styleId="1100" w:customStyle="1">
    <w:name w:val="Normal_0_1"/>
    <w:next w:val="1101"/>
    <w:uiPriority w:val="0"/>
    <w:qFormat/>
    <w:rPr>
      <w:rFonts w:ascii="黑体" w:hAnsi="黑体" w:eastAsia="黑体" w:cs="黑体"/>
      <w:b/>
      <w:sz w:val="32"/>
      <w:szCs w:val="24"/>
      <w:lang w:val="en-US" w:eastAsia="zh-CN" w:bidi="ar-SA"/>
    </w:rPr>
  </w:style>
  <w:style w:type="paragraph" w:styleId="1101" w:customStyle="1">
    <w:name w:val="Body Text First Indent_0"/>
    <w:basedOn w:val="1102"/>
    <w:uiPriority w:val="99"/>
    <w:unhideWhenUsed/>
    <w:qFormat/>
    <w:pPr>
      <w:ind w:firstLine="420"/>
      <w:spacing w:after="120"/>
    </w:pPr>
  </w:style>
  <w:style w:type="paragraph" w:styleId="1102" w:customStyle="1">
    <w:name w:val="正文3"/>
    <w:next w:val="1103"/>
    <w:uiPriority w:val="0"/>
    <w:qFormat/>
    <w:rPr>
      <w:rFonts w:ascii="Times New Roman" w:hAnsi="Times New Roman" w:eastAsia="Times New Roman" w:cs="Times New Roman"/>
      <w:sz w:val="24"/>
      <w:szCs w:val="24"/>
      <w:lang w:val="en-US" w:eastAsia="zh-CN" w:bidi="ar-SA"/>
    </w:rPr>
  </w:style>
  <w:style w:type="paragraph" w:styleId="1103" w:customStyle="1">
    <w:name w:val="正文首行缩进3"/>
    <w:basedOn w:val="1092"/>
    <w:uiPriority w:val="99"/>
    <w:unhideWhenUsed/>
    <w:qFormat/>
    <w:pPr>
      <w:ind w:firstLine="420"/>
      <w:spacing w:after="120"/>
    </w:pPr>
    <w:rPr>
      <w:sz w:val="20"/>
    </w:rPr>
  </w:style>
  <w:style w:type="paragraph" w:styleId="1104" w:customStyle="1">
    <w:name w:val="Normal_1_1"/>
    <w:uiPriority w:val="0"/>
    <w:qFormat/>
    <w:rPr>
      <w:rFonts w:ascii="黑体" w:hAnsi="黑体" w:eastAsia="黑体" w:cs="黑体"/>
      <w:b/>
      <w:sz w:val="32"/>
      <w:szCs w:val="24"/>
      <w:lang w:val="en-US" w:eastAsia="zh-CN" w:bidi="ar-SA"/>
    </w:rPr>
  </w:style>
  <w:style w:type="paragraph" w:styleId="1105"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0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Normal_2_0"/>
    <w:uiPriority w:val="0"/>
    <w:qFormat/>
    <w:rPr>
      <w:rFonts w:ascii="黑体" w:hAnsi="黑体" w:eastAsia="黑体" w:cs="黑体"/>
      <w:b/>
      <w:sz w:val="32"/>
      <w:szCs w:val="24"/>
      <w:lang w:val="en-US" w:eastAsia="zh-CN" w:bidi="ar-SA"/>
    </w:rPr>
  </w:style>
  <w:style w:type="paragraph" w:styleId="1108"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Normal_4_0"/>
    <w:uiPriority w:val="0"/>
    <w:qFormat/>
    <w:rPr>
      <w:rFonts w:ascii="黑体" w:hAnsi="黑体" w:eastAsia="黑体" w:cs="黑体"/>
      <w:b/>
      <w:sz w:val="32"/>
      <w:szCs w:val="24"/>
      <w:lang w:val="en-US" w:eastAsia="zh-CN" w:bidi="ar-SA"/>
    </w:rPr>
  </w:style>
  <w:style w:type="paragraph" w:styleId="111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11" w:customStyle="1">
    <w:name w:val="Normal_6_0"/>
    <w:uiPriority w:val="0"/>
    <w:qFormat/>
    <w:rPr>
      <w:rFonts w:ascii="黑体" w:hAnsi="黑体" w:eastAsia="黑体" w:cs="黑体"/>
      <w:b/>
      <w:sz w:val="32"/>
      <w:szCs w:val="24"/>
      <w:lang w:val="en-US" w:eastAsia="zh-CN" w:bidi="ar-SA"/>
    </w:rPr>
  </w:style>
  <w:style w:type="paragraph" w:styleId="111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1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15" w:customStyle="1">
    <w:name w:val="Normal_7_0"/>
    <w:uiPriority w:val="0"/>
    <w:qFormat/>
    <w:rPr>
      <w:rFonts w:ascii="黑体" w:hAnsi="黑体" w:eastAsia="黑体" w:cs="黑体"/>
      <w:b/>
      <w:sz w:val="32"/>
      <w:szCs w:val="24"/>
      <w:lang w:val="en-US" w:eastAsia="zh-CN" w:bidi="ar-SA"/>
    </w:rPr>
  </w:style>
  <w:style w:type="paragraph" w:styleId="1116" w:customStyle="1">
    <w:name w:val="Normal_8_0"/>
    <w:uiPriority w:val="0"/>
    <w:qFormat/>
    <w:rPr>
      <w:rFonts w:ascii="Times New Roman" w:hAnsi="Times New Roman" w:eastAsia="Times New Roman" w:cs="Times New Roman"/>
      <w:sz w:val="24"/>
      <w:szCs w:val="24"/>
      <w:lang w:val="en-US" w:eastAsia="zh-CN" w:bidi="ar-SA"/>
    </w:rPr>
  </w:style>
  <w:style w:type="paragraph" w:styleId="1117" w:customStyle="1">
    <w:name w:val="Normal_9_0"/>
    <w:uiPriority w:val="0"/>
    <w:qFormat/>
    <w:rPr>
      <w:rFonts w:ascii="Times New Roman" w:hAnsi="Times New Roman" w:eastAsia="Times New Roman" w:cs="Times New Roman"/>
      <w:sz w:val="24"/>
      <w:szCs w:val="24"/>
      <w:lang w:val="en-US" w:eastAsia="zh-CN" w:bidi="ar-SA"/>
    </w:rPr>
  </w:style>
  <w:style w:type="paragraph" w:styleId="1118" w:customStyle="1">
    <w:name w:val="Normal_10_0"/>
    <w:uiPriority w:val="0"/>
    <w:qFormat/>
    <w:rPr>
      <w:rFonts w:ascii="黑体" w:hAnsi="黑体" w:eastAsia="黑体" w:cs="黑体"/>
      <w:b/>
      <w:sz w:val="32"/>
      <w:szCs w:val="24"/>
      <w:lang w:val="en-US" w:eastAsia="zh-CN" w:bidi="ar-SA"/>
    </w:rPr>
  </w:style>
  <w:style w:type="paragraph" w:styleId="111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正文首行缩进 2_1"/>
    <w:basedOn w:val="1121"/>
    <w:next w:val="1123"/>
    <w:uiPriority w:val="0"/>
    <w:qFormat/>
    <w:pPr>
      <w:ind w:left="200" w:firstLine="200"/>
      <w:spacing w:after="120"/>
    </w:pPr>
    <w:rPr>
      <w:rFonts w:ascii="Times New Roman"/>
      <w:szCs w:val="24"/>
    </w:rPr>
  </w:style>
  <w:style w:type="paragraph" w:styleId="1121" w:customStyle="1">
    <w:name w:val="正文文本缩进_1"/>
    <w:basedOn w:val="1122"/>
    <w:next w:val="1120"/>
    <w:uiPriority w:val="0"/>
    <w:qFormat/>
    <w:pPr>
      <w:ind w:firstLine="225"/>
    </w:pPr>
    <w:rPr>
      <w:rFonts w:ascii="仿宋_GB2312" w:eastAsia="仿宋_GB2312"/>
      <w:sz w:val="32"/>
    </w:rPr>
  </w:style>
  <w:style w:type="paragraph" w:styleId="1122" w:customStyle="1">
    <w:name w:val="正文_18"/>
    <w:next w:val="1121"/>
    <w:uiPriority w:val="0"/>
    <w:qFormat/>
    <w:pPr>
      <w:jc w:val="both"/>
      <w:widowControl w:val="off"/>
    </w:pPr>
    <w:rPr>
      <w:rFonts w:ascii="Calibri" w:hAnsi="Calibri" w:eastAsia="宋体" w:cs="Times New Roman"/>
      <w:sz w:val="21"/>
      <w:szCs w:val="22"/>
      <w:lang w:val="en-US" w:eastAsia="zh-CN" w:bidi="ar-SA"/>
    </w:rPr>
  </w:style>
  <w:style w:type="paragraph" w:styleId="1123" w:customStyle="1">
    <w:name w:val="xl53_0"/>
    <w:next w:val="111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2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Normal_11_0"/>
    <w:uiPriority w:val="0"/>
    <w:qFormat/>
    <w:rPr>
      <w:rFonts w:ascii="黑体" w:hAnsi="黑体" w:eastAsia="黑体" w:cs="黑体"/>
      <w:b/>
      <w:sz w:val="32"/>
      <w:szCs w:val="24"/>
      <w:lang w:val="en-US" w:eastAsia="zh-CN" w:bidi="ar-SA"/>
    </w:rPr>
  </w:style>
  <w:style w:type="paragraph" w:styleId="112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2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2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列出段落_2"/>
    <w:basedOn w:val="1128"/>
    <w:uiPriority w:val="34"/>
    <w:qFormat/>
    <w:pPr>
      <w:ind w:firstLine="420"/>
    </w:pPr>
  </w:style>
  <w:style w:type="paragraph" w:styleId="1131" w:customStyle="1">
    <w:name w:val="Normal_13_0"/>
    <w:uiPriority w:val="0"/>
    <w:qFormat/>
    <w:rPr>
      <w:rFonts w:ascii="黑体" w:hAnsi="黑体" w:eastAsia="黑体" w:cs="黑体"/>
      <w:b/>
      <w:sz w:val="32"/>
      <w:szCs w:val="24"/>
      <w:lang w:val="en-US" w:eastAsia="zh-CN" w:bidi="ar-SA"/>
    </w:rPr>
  </w:style>
  <w:style w:type="paragraph" w:styleId="1132"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33" w:customStyle="1">
    <w:name w:val="纯文本_0_0"/>
    <w:basedOn w:val="1132"/>
    <w:uiPriority w:val="0"/>
    <w:unhideWhenUsed/>
    <w:qFormat/>
    <w:rPr>
      <w:rFonts w:ascii="宋体" w:hAnsi="Courier New"/>
      <w:szCs w:val="21"/>
    </w:rPr>
  </w:style>
  <w:style w:type="paragraph" w:styleId="1134"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35" w:customStyle="1">
    <w:name w:val="Normal_14_0"/>
    <w:uiPriority w:val="0"/>
    <w:qFormat/>
    <w:rPr>
      <w:rFonts w:ascii="黑体" w:hAnsi="黑体" w:eastAsia="黑体" w:cs="黑体"/>
      <w:b/>
      <w:sz w:val="32"/>
      <w:szCs w:val="24"/>
      <w:lang w:val="en-US" w:eastAsia="zh-CN" w:bidi="ar-SA"/>
    </w:rPr>
  </w:style>
  <w:style w:type="paragraph" w:styleId="1136"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Normal_15_0"/>
    <w:uiPriority w:val="0"/>
    <w:qFormat/>
    <w:rPr>
      <w:rFonts w:ascii="黑体" w:hAnsi="黑体" w:eastAsia="黑体" w:cs="黑体"/>
      <w:b/>
      <w:sz w:val="32"/>
      <w:szCs w:val="24"/>
      <w:lang w:val="en-US" w:eastAsia="zh-CN" w:bidi="ar-SA"/>
    </w:rPr>
  </w:style>
  <w:style w:type="paragraph" w:styleId="1138"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Normal_16_0"/>
    <w:uiPriority w:val="0"/>
    <w:qFormat/>
    <w:rPr>
      <w:rFonts w:ascii="黑体" w:hAnsi="黑体" w:eastAsia="黑体" w:cs="黑体"/>
      <w:b/>
      <w:sz w:val="32"/>
      <w:szCs w:val="24"/>
      <w:lang w:val="en-US" w:eastAsia="zh-CN" w:bidi="ar-SA"/>
    </w:rPr>
  </w:style>
  <w:style w:type="paragraph" w:styleId="114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42" w:customStyle="1">
    <w:name w:val="Normal_17_0"/>
    <w:uiPriority w:val="0"/>
    <w:qFormat/>
    <w:rPr>
      <w:rFonts w:ascii="黑体" w:hAnsi="黑体" w:eastAsia="黑体" w:cs="黑体"/>
      <w:b/>
      <w:sz w:val="32"/>
      <w:szCs w:val="24"/>
      <w:lang w:val="en-US" w:eastAsia="zh-CN" w:bidi="ar-SA"/>
    </w:rPr>
  </w:style>
  <w:style w:type="paragraph" w:styleId="1143"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Normal_18_0"/>
    <w:uiPriority w:val="0"/>
    <w:qFormat/>
    <w:rPr>
      <w:rFonts w:ascii="黑体" w:hAnsi="黑体" w:eastAsia="黑体" w:cs="黑体"/>
      <w:b/>
      <w:sz w:val="32"/>
      <w:szCs w:val="24"/>
      <w:lang w:val="en-US" w:eastAsia="zh-CN" w:bidi="ar-SA"/>
    </w:rPr>
  </w:style>
  <w:style w:type="paragraph" w:styleId="1145"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Normal_14_0_0"/>
    <w:uiPriority w:val="0"/>
    <w:qFormat/>
    <w:rPr>
      <w:rFonts w:ascii="黑体" w:hAnsi="黑体" w:eastAsia="黑体" w:cs="Times New Roman"/>
      <w:b/>
      <w:sz w:val="32"/>
      <w:szCs w:val="24"/>
      <w:lang w:val="en-US" w:eastAsia="zh-CN" w:bidi="ar-SA"/>
    </w:rPr>
  </w:style>
  <w:style w:type="paragraph" w:styleId="114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4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50"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Normal Indent_0"/>
    <w:basedOn w:val="932"/>
    <w:uiPriority w:val="0"/>
    <w:qFormat/>
    <w:pPr>
      <w:ind w:firstLine="420"/>
    </w:pPr>
    <w:rPr>
      <w:rFonts w:ascii="宋体" w:eastAsia="Times New Roman"/>
      <w:color w:val="000000"/>
      <w:sz w:val="24"/>
      <w:szCs w:val="20"/>
    </w:rPr>
  </w:style>
  <w:style w:type="paragraph" w:styleId="1155" w:customStyle="1">
    <w:name w:val="Heading 3_0"/>
    <w:basedOn w:val="932"/>
    <w:next w:val="932"/>
    <w:uiPriority w:val="0"/>
    <w:qFormat/>
    <w:pPr>
      <w:keepLines/>
      <w:keepNext/>
      <w:spacing w:before="260" w:after="260" w:line="413" w:lineRule="auto"/>
      <w:outlineLvl w:val="2"/>
    </w:pPr>
    <w:rPr>
      <w:rFonts w:ascii="Times New Roman" w:hAnsi="Times New Roman" w:eastAsia="Times New Roman"/>
      <w:szCs w:val="20"/>
    </w:rPr>
  </w:style>
  <w:style w:type="paragraph" w:styleId="115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57" w:customStyle="1">
    <w:name w:val="正文2"/>
    <w:basedOn w:val="798"/>
    <w:uiPriority w:val="0"/>
    <w:qFormat/>
    <w:pPr>
      <w:ind w:firstLine="510"/>
      <w:spacing w:before="156" w:line="360" w:lineRule="auto"/>
    </w:pPr>
    <w:rPr>
      <w:sz w:val="24"/>
      <w:szCs w:val="20"/>
    </w:rPr>
  </w:style>
  <w:style w:type="paragraph" w:styleId="115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9"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60" w:customStyle="1">
    <w:name w:val="Normal_19_1_0"/>
    <w:next w:val="1161"/>
    <w:uiPriority w:val="0"/>
    <w:qFormat/>
    <w:pPr>
      <w:jc w:val="both"/>
      <w:widowControl w:val="off"/>
    </w:pPr>
    <w:rPr>
      <w:rFonts w:ascii="Calibri" w:hAnsi="Calibri" w:eastAsia="宋体" w:cs="Times New Roman"/>
      <w:szCs w:val="24"/>
      <w:lang w:val="en-US" w:eastAsia="zh-CN" w:bidi="ar-SA"/>
    </w:rPr>
  </w:style>
  <w:style w:type="paragraph" w:styleId="1161" w:customStyle="1">
    <w:name w:val="正文_16_0"/>
    <w:basedOn w:val="1122"/>
    <w:next w:val="1120"/>
    <w:uiPriority w:val="0"/>
    <w:qFormat/>
    <w:rPr>
      <w:rFonts w:ascii="Times New Roman" w:hAnsi="Times New Roman"/>
    </w:rPr>
  </w:style>
  <w:style w:type="paragraph" w:styleId="1162" w:customStyle="1">
    <w:name w:val="Normal_19_0"/>
    <w:basedOn w:val="838"/>
    <w:next w:val="1163"/>
    <w:uiPriority w:val="0"/>
    <w:qFormat/>
    <w:rPr>
      <w:szCs w:val="24"/>
    </w:rPr>
  </w:style>
  <w:style w:type="paragraph" w:styleId="1163" w:customStyle="1">
    <w:name w:val="Body Text First Indent_1_0"/>
    <w:basedOn w:val="1162"/>
    <w:uiPriority w:val="0"/>
    <w:qFormat/>
    <w:pPr>
      <w:ind w:firstLine="100"/>
      <w:spacing w:after="120"/>
    </w:pPr>
  </w:style>
  <w:style w:type="paragraph" w:styleId="1164" w:customStyle="1">
    <w:name w:val="Body Text_0"/>
    <w:basedOn w:val="1162"/>
    <w:uiPriority w:val="0"/>
    <w:qFormat/>
    <w:pPr>
      <w:spacing w:line="60" w:lineRule="auto"/>
    </w:pPr>
    <w:rPr>
      <w:rFonts w:ascii="仿宋_GB2312" w:eastAsia="仿宋_GB2312"/>
      <w:sz w:val="32"/>
    </w:rPr>
  </w:style>
  <w:style w:type="paragraph" w:styleId="1165" w:customStyle="1">
    <w:name w:val="Normal_19_1"/>
    <w:next w:val="932"/>
    <w:uiPriority w:val="0"/>
    <w:qFormat/>
    <w:pPr>
      <w:jc w:val="both"/>
      <w:widowControl w:val="off"/>
    </w:pPr>
    <w:rPr>
      <w:rFonts w:ascii="Calibri" w:hAnsi="Calibri" w:eastAsia="宋体" w:cs="Times New Roman"/>
      <w:szCs w:val="24"/>
      <w:lang w:val="en-US" w:eastAsia="zh-CN" w:bidi="ar-SA"/>
    </w:rPr>
  </w:style>
  <w:style w:type="paragraph" w:styleId="1166" w:customStyle="1">
    <w:name w:val="正文_6_0_0"/>
    <w:uiPriority w:val="0"/>
    <w:qFormat/>
    <w:pPr>
      <w:jc w:val="both"/>
      <w:widowControl w:val="off"/>
    </w:pPr>
    <w:rPr>
      <w:rFonts w:ascii="Calibri" w:hAnsi="Calibri" w:eastAsia="宋体" w:cs="Times New Roman"/>
      <w:lang w:val="en-US" w:eastAsia="zh-CN" w:bidi="ar-SA"/>
    </w:rPr>
  </w:style>
  <w:style w:type="paragraph" w:styleId="1167" w:customStyle="1">
    <w:name w:val="正文_7_1"/>
    <w:uiPriority w:val="0"/>
    <w:qFormat/>
    <w:pPr>
      <w:jc w:val="both"/>
      <w:widowControl w:val="off"/>
    </w:pPr>
    <w:rPr>
      <w:rFonts w:ascii="Calibri" w:hAnsi="Calibri" w:eastAsia="宋体" w:cs="Times New Roman"/>
      <w:lang w:val="en-US" w:eastAsia="zh-CN" w:bidi="ar-SA"/>
    </w:rPr>
  </w:style>
  <w:style w:type="paragraph" w:styleId="1168" w:customStyle="1">
    <w:name w:val="正文1_1"/>
    <w:basedOn w:val="1116"/>
    <w:uiPriority w:val="0"/>
    <w:qFormat/>
    <w:pPr>
      <w:jc w:val="both"/>
      <w:widowControl w:val="off"/>
    </w:pPr>
    <w:rPr>
      <w:sz w:val="20"/>
      <w:szCs w:val="20"/>
    </w:rPr>
  </w:style>
  <w:style w:type="paragraph" w:styleId="1169" w:customStyle="1">
    <w:name w:val="Normal_8_0_0"/>
    <w:uiPriority w:val="0"/>
    <w:qFormat/>
    <w:rPr>
      <w:rFonts w:ascii="Times New Roman" w:hAnsi="Times New Roman" w:eastAsia="Times New Roman" w:cs="Times New Roman"/>
      <w:sz w:val="24"/>
      <w:szCs w:val="24"/>
      <w:lang w:val="en-US" w:eastAsia="zh-CN" w:bidi="ar-SA"/>
    </w:rPr>
  </w:style>
  <w:style w:type="paragraph" w:styleId="1170" w:customStyle="1">
    <w:name w:val="Normal_8_0_0_0"/>
    <w:uiPriority w:val="0"/>
    <w:qFormat/>
    <w:pPr>
      <w:jc w:val="both"/>
      <w:widowControl w:val="off"/>
    </w:pPr>
    <w:rPr>
      <w:rFonts w:ascii="Calibri" w:hAnsi="Calibri" w:eastAsia="宋体" w:cs="Times New Roman"/>
      <w:lang w:val="en-US" w:eastAsia="zh-CN" w:bidi="ar-SA"/>
    </w:rPr>
  </w:style>
  <w:style w:type="paragraph" w:styleId="1171" w:customStyle="1">
    <w:name w:val="Normal_16_1"/>
    <w:uiPriority w:val="0"/>
    <w:qFormat/>
    <w:rPr>
      <w:rFonts w:ascii="黑体" w:hAnsi="黑体" w:eastAsia="黑体" w:cs="Times New Roman"/>
      <w:b/>
      <w:sz w:val="32"/>
      <w:szCs w:val="24"/>
      <w:lang w:val="en-US" w:eastAsia="zh-CN" w:bidi="ar-SA"/>
    </w:rPr>
  </w:style>
  <w:style w:type="paragraph" w:styleId="1172" w:customStyle="1">
    <w:name w:val="Normal_19_0_1"/>
    <w:uiPriority w:val="0"/>
    <w:qFormat/>
    <w:rPr>
      <w:rFonts w:ascii="Tahoma" w:hAnsi="Tahoma" w:eastAsia="微软雅黑" w:cs="Times New Roman"/>
      <w:lang w:val="en-US" w:eastAsia="zh-CN" w:bidi="ar-SA"/>
    </w:rPr>
  </w:style>
  <w:style w:type="paragraph" w:styleId="1173" w:customStyle="1">
    <w:name w:val="Normal_16_0_0"/>
    <w:uiPriority w:val="0"/>
    <w:qFormat/>
    <w:pPr>
      <w:jc w:val="both"/>
      <w:widowControl w:val="off"/>
    </w:pPr>
    <w:rPr>
      <w:rFonts w:ascii="Calibri" w:hAnsi="Calibri" w:eastAsia="宋体" w:cs="Times New Roman"/>
      <w:lang w:val="en-US" w:eastAsia="zh-CN" w:bidi="ar-SA"/>
    </w:rPr>
  </w:style>
  <w:style w:type="paragraph" w:styleId="1174"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75" w:customStyle="1">
    <w:name w:val="Normal_17_0_0"/>
    <w:uiPriority w:val="0"/>
    <w:qFormat/>
    <w:rPr>
      <w:rFonts w:ascii="黑体" w:hAnsi="黑体" w:eastAsia="黑体" w:cs="Times New Roman"/>
      <w:b/>
      <w:sz w:val="32"/>
      <w:szCs w:val="24"/>
      <w:lang w:val="en-US" w:eastAsia="zh-CN" w:bidi="ar-SA"/>
    </w:rPr>
  </w:style>
  <w:style w:type="paragraph" w:styleId="1176" w:customStyle="1">
    <w:name w:val="Normal_19_0_1_0"/>
    <w:uiPriority w:val="0"/>
    <w:qFormat/>
    <w:rPr>
      <w:rFonts w:ascii="Tahoma" w:hAnsi="Tahoma" w:eastAsia="微软雅黑" w:cs="Times New Roman"/>
      <w:lang w:val="en-US" w:eastAsia="zh-CN" w:bidi="ar-SA"/>
    </w:rPr>
  </w:style>
  <w:style w:type="paragraph" w:styleId="1177" w:customStyle="1">
    <w:name w:val="Normal_19_3"/>
    <w:next w:val="1178"/>
    <w:uiPriority w:val="0"/>
    <w:qFormat/>
    <w:pPr>
      <w:jc w:val="both"/>
      <w:widowControl w:val="off"/>
    </w:pPr>
    <w:rPr>
      <w:rFonts w:ascii="Calibri" w:hAnsi="Calibri" w:eastAsia="Times New Roman" w:cs="Times New Roman"/>
      <w:szCs w:val="24"/>
      <w:lang w:val="en-US" w:eastAsia="zh-CN" w:bidi="ar-SA"/>
    </w:rPr>
  </w:style>
  <w:style w:type="paragraph" w:styleId="1178"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80" w:customStyle="1">
    <w:name w:val="custom-tag-placeholder-class"/>
    <w:uiPriority w:val="0"/>
    <w:qFormat/>
  </w:style>
  <w:style w:type="paragraph" w:styleId="1181" w:customStyle="1">
    <w:name w:val="Normal_19_0_0"/>
    <w:basedOn w:val="932"/>
    <w:next w:val="1182"/>
    <w:uiPriority w:val="0"/>
    <w:qFormat/>
    <w:rPr>
      <w:rFonts w:ascii="Calibri" w:hAnsi="Calibri" w:eastAsia="Times New Roman"/>
      <w:sz w:val="24"/>
    </w:rPr>
  </w:style>
  <w:style w:type="paragraph" w:styleId="1182" w:customStyle="1">
    <w:name w:val="Body Text First Indent_1_0_0"/>
    <w:basedOn w:val="1181"/>
    <w:uiPriority w:val="0"/>
    <w:qFormat/>
    <w:pPr>
      <w:ind w:firstLine="100"/>
      <w:spacing w:after="120"/>
    </w:pPr>
  </w:style>
  <w:style w:type="paragraph" w:styleId="1183" w:customStyle="1">
    <w:name w:val="正文首行缩进1"/>
    <w:basedOn w:val="1184"/>
    <w:uiPriority w:val="0"/>
    <w:qFormat/>
    <w:pPr>
      <w:ind w:firstLine="100"/>
      <w:spacing w:after="120" w:line="240" w:lineRule="auto"/>
    </w:pPr>
    <w:rPr>
      <w:rFonts w:ascii="Times New Roman" w:hAnsi="Times New Roman" w:eastAsia="宋体"/>
      <w:sz w:val="21"/>
    </w:rPr>
  </w:style>
  <w:style w:type="paragraph" w:styleId="1184" w:customStyle="1">
    <w:name w:val="正文文本1"/>
    <w:basedOn w:val="798"/>
    <w:uiPriority w:val="0"/>
    <w:qFormat/>
    <w:pPr>
      <w:spacing w:line="60" w:lineRule="auto"/>
    </w:pPr>
    <w:rPr>
      <w:rFonts w:ascii="仿宋_GB2312" w:eastAsia="仿宋_GB2312"/>
      <w:sz w:val="32"/>
    </w:rPr>
  </w:style>
  <w:style w:type="paragraph" w:styleId="118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List Paragraph_0"/>
    <w:basedOn w:val="1096"/>
    <w:uiPriority w:val="0"/>
    <w:qFormat/>
    <w:pPr>
      <w:ind w:firstLine="420"/>
    </w:pPr>
  </w:style>
  <w:style w:type="paragraph" w:styleId="1187" w:customStyle="1">
    <w:name w:val="纯文本_1"/>
    <w:basedOn w:val="1185"/>
    <w:uiPriority w:val="0"/>
    <w:qFormat/>
    <w:rPr>
      <w:rFonts w:ascii="宋体" w:hAnsi="Times New Roman"/>
      <w:sz w:val="20"/>
      <w:szCs w:val="21"/>
    </w:rPr>
  </w:style>
  <w:style w:type="paragraph" w:styleId="1188" w:customStyle="1">
    <w:name w:val="正文_16_0_0"/>
    <w:next w:val="958"/>
    <w:uiPriority w:val="0"/>
    <w:qFormat/>
    <w:pPr>
      <w:jc w:val="both"/>
      <w:widowControl w:val="off"/>
    </w:pPr>
    <w:rPr>
      <w:rFonts w:ascii="Calibri" w:hAnsi="Calibri" w:eastAsia="宋体" w:cs="Times New Roman"/>
      <w:sz w:val="21"/>
      <w:szCs w:val="22"/>
      <w:lang w:val="en-US" w:eastAsia="zh-CN" w:bidi="ar-SA"/>
    </w:rPr>
  </w:style>
  <w:style w:type="paragraph" w:styleId="1189" w:customStyle="1">
    <w:name w:val="正文_11_0"/>
    <w:basedOn w:val="958"/>
    <w:uiPriority w:val="0"/>
    <w:qFormat/>
    <w:rPr>
      <w:rFonts w:ascii="Calibri" w:hAnsi="Calibri"/>
      <w:szCs w:val="20"/>
    </w:rPr>
  </w:style>
  <w:style w:type="paragraph" w:styleId="1190" w:customStyle="1">
    <w:name w:val="Normal_19_0_0_0"/>
    <w:basedOn w:val="838"/>
    <w:uiPriority w:val="0"/>
    <w:qFormat/>
    <w:rPr>
      <w:rFonts w:cs="黑体"/>
      <w:szCs w:val="24"/>
    </w:rPr>
  </w:style>
  <w:style w:type="paragraph" w:styleId="1191" w:customStyle="1">
    <w:name w:val="无间隔11"/>
    <w:basedOn w:val="1102"/>
    <w:uiPriority w:val="0"/>
    <w:qFormat/>
    <w:rPr>
      <w:rFonts w:ascii="Calibri" w:hAnsi="Calibri" w:cs="Calibri"/>
    </w:rPr>
  </w:style>
  <w:style w:type="paragraph" w:styleId="1192" w:customStyle="1">
    <w:name w:val="标题 31"/>
    <w:basedOn w:val="1102"/>
    <w:next w:val="1102"/>
    <w:uiPriority w:val="0"/>
    <w:qFormat/>
    <w:pPr>
      <w:keepLines/>
      <w:keepNext/>
      <w:spacing w:before="260" w:after="260" w:line="413" w:lineRule="auto"/>
      <w:outlineLvl w:val="2"/>
    </w:pPr>
    <w:rPr>
      <w:b/>
      <w:sz w:val="32"/>
      <w:szCs w:val="20"/>
    </w:rPr>
  </w:style>
  <w:style w:type="character" w:styleId="1193" w:customStyle="1">
    <w:name w:val="标题 2 Char_0"/>
    <w:link w:val="1194"/>
    <w:uiPriority w:val="0"/>
    <w:qFormat/>
    <w:rPr>
      <w:rFonts w:ascii="Arial" w:hAnsi="Arial" w:eastAsia="黑体"/>
      <w:b/>
      <w:sz w:val="32"/>
      <w:szCs w:val="22"/>
    </w:rPr>
  </w:style>
  <w:style w:type="paragraph" w:styleId="1194" w:customStyle="1">
    <w:name w:val="标题 21"/>
    <w:basedOn w:val="840"/>
    <w:next w:val="840"/>
    <w:link w:val="1193"/>
    <w:uiPriority w:val="0"/>
    <w:unhideWhenUsed/>
    <w:qFormat/>
    <w:pPr>
      <w:keepLines/>
      <w:keepNext/>
      <w:spacing w:before="260" w:after="260" w:line="413" w:lineRule="auto"/>
      <w:outlineLvl w:val="1"/>
    </w:pPr>
    <w:rPr>
      <w:rFonts w:ascii="Arial" w:hAnsi="Arial"/>
      <w:szCs w:val="22"/>
    </w:rPr>
  </w:style>
  <w:style w:type="paragraph" w:styleId="1195" w:customStyle="1">
    <w:name w:val="Normal_19_1_0_0"/>
    <w:next w:val="1196"/>
    <w:uiPriority w:val="0"/>
    <w:qFormat/>
    <w:pPr>
      <w:jc w:val="both"/>
      <w:widowControl w:val="off"/>
    </w:pPr>
    <w:rPr>
      <w:rFonts w:ascii="Calibri" w:hAnsi="Calibri" w:eastAsia="宋体" w:cs="Times New Roman"/>
      <w:sz w:val="21"/>
      <w:szCs w:val="24"/>
      <w:lang w:val="en-US" w:eastAsia="zh-CN" w:bidi="ar-SA"/>
    </w:rPr>
  </w:style>
  <w:style w:type="paragraph" w:styleId="1196"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97" w:customStyle="1">
    <w:name w:val="正文1_0_0"/>
    <w:basedOn w:val="840"/>
    <w:uiPriority w:val="0"/>
    <w:qFormat/>
    <w:pPr>
      <w:ind w:left="357" w:firstLine="420"/>
      <w:spacing w:line="360" w:lineRule="auto"/>
    </w:pPr>
    <w:rPr>
      <w:rFonts w:eastAsia="Times New Roman" w:cs="Arial"/>
    </w:rPr>
  </w:style>
  <w:style w:type="paragraph" w:styleId="1198"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99" w:customStyle="1">
    <w:name w:val="正文空2字"/>
    <w:basedOn w:val="1200"/>
    <w:uiPriority w:val="99"/>
    <w:qFormat/>
    <w:pPr>
      <w:ind w:firstLine="640"/>
      <w:spacing w:line="560" w:lineRule="exact"/>
      <w:widowControl w:val="off"/>
    </w:pPr>
    <w:rPr>
      <w:rFonts w:ascii="仿宋_GB2312" w:hAnsi="仿宋_GB2312" w:cs="仿宋_GB2312"/>
      <w:lang w:val="zh-TW"/>
    </w:rPr>
  </w:style>
  <w:style w:type="paragraph" w:styleId="1200" w:customStyle="1">
    <w:name w:val="左对齐正文"/>
    <w:uiPriority w:val="99"/>
    <w:qFormat/>
    <w:rPr>
      <w:rFonts w:ascii="Calibri" w:hAnsi="Calibri" w:eastAsia="仿宋_GB2312" w:cs="Calibri"/>
      <w:sz w:val="32"/>
      <w:szCs w:val="32"/>
      <w:lang w:val="en-US" w:eastAsia="zh-CN" w:bidi="ar-SA"/>
    </w:rPr>
  </w:style>
  <w:style w:type="paragraph" w:styleId="1201" w:customStyle="1">
    <w:name w:val="普通(网站)1"/>
    <w:basedOn w:val="798"/>
    <w:uiPriority w:val="0"/>
    <w:qFormat/>
    <w:rPr>
      <w:sz w:val="24"/>
    </w:rPr>
  </w:style>
  <w:style w:type="paragraph" w:styleId="1202" w:customStyle="1">
    <w:name w:val="正文文本_0"/>
    <w:basedOn w:val="1096"/>
    <w:next w:val="1203"/>
    <w:uiPriority w:val="0"/>
    <w:qFormat/>
    <w:pPr>
      <w:spacing w:line="60" w:lineRule="auto"/>
    </w:pPr>
    <w:rPr>
      <w:rFonts w:ascii="仿宋_GB2312" w:eastAsia="仿宋_GB2312"/>
      <w:sz w:val="32"/>
    </w:rPr>
  </w:style>
  <w:style w:type="paragraph" w:styleId="1203" w:customStyle="1">
    <w:name w:val="正文缩进_1"/>
    <w:basedOn w:val="1096"/>
    <w:next w:val="1096"/>
    <w:uiPriority w:val="0"/>
    <w:qFormat/>
    <w:pPr>
      <w:ind w:firstLine="420"/>
    </w:pPr>
    <w:rPr>
      <w:rFonts w:ascii="宋体"/>
      <w:color w:val="000000"/>
      <w:sz w:val="24"/>
      <w:szCs w:val="20"/>
    </w:rPr>
  </w:style>
  <w:style w:type="paragraph" w:styleId="1204" w:customStyle="1">
    <w:name w:val="Table Paragraph"/>
    <w:basedOn w:val="932"/>
    <w:uiPriority w:val="1"/>
    <w:qFormat/>
    <w:rPr>
      <w:rFonts w:ascii="宋体" w:hAnsi="宋体" w:cs="宋体"/>
      <w:sz w:val="22"/>
      <w:lang w:val="zh-CN" w:bidi="zh-CN"/>
    </w:rPr>
  </w:style>
  <w:style w:type="paragraph" w:styleId="1205" w:customStyle="1">
    <w:name w:val="Normal_19_2"/>
    <w:basedOn w:val="1206"/>
    <w:uiPriority w:val="0"/>
    <w:qFormat/>
    <w:rPr>
      <w:rFonts w:ascii="Times New Roman" w:hAnsi="Times New Roman"/>
      <w:szCs w:val="21"/>
    </w:rPr>
  </w:style>
  <w:style w:type="paragraph" w:styleId="1206"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正文文本2"/>
    <w:basedOn w:val="956"/>
    <w:uiPriority w:val="0"/>
    <w:qFormat/>
    <w:pPr>
      <w:spacing w:line="60" w:lineRule="auto"/>
    </w:pPr>
    <w:rPr>
      <w:rFonts w:ascii="仿宋_GB2312" w:eastAsia="仿宋_GB2312"/>
      <w:sz w:val="32"/>
      <w:szCs w:val="22"/>
    </w:rPr>
  </w:style>
  <w:style w:type="paragraph" w:styleId="1208" w:customStyle="1">
    <w:name w:val="正文1_0"/>
    <w:basedOn w:val="1185"/>
    <w:uiPriority w:val="0"/>
    <w:qFormat/>
    <w:pPr>
      <w:ind w:left="357" w:firstLine="420"/>
      <w:jc w:val="left"/>
      <w:spacing w:line="360" w:lineRule="auto"/>
      <w:widowControl/>
    </w:pPr>
    <w:rPr>
      <w:rFonts w:cs="Arial"/>
      <w:szCs w:val="20"/>
    </w:rPr>
  </w:style>
  <w:style w:type="paragraph" w:styleId="1209" w:customStyle="1">
    <w:name w:val="Normal_19_2_0"/>
    <w:basedOn w:val="1210"/>
    <w:uiPriority w:val="0"/>
    <w:qFormat/>
    <w:rPr>
      <w:rFonts w:ascii="Times New Roman" w:hAnsi="Times New Roman"/>
      <w:szCs w:val="21"/>
    </w:rPr>
  </w:style>
  <w:style w:type="paragraph" w:styleId="1210"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11" w:customStyle="1">
    <w:name w:val="正文缩进1"/>
    <w:basedOn w:val="798"/>
    <w:uiPriority w:val="0"/>
    <w:qFormat/>
    <w:pPr>
      <w:ind w:firstLine="420"/>
      <w:jc w:val="left"/>
    </w:pPr>
    <w:rPr>
      <w:rFonts w:ascii="宋体"/>
      <w:sz w:val="24"/>
    </w:rPr>
  </w:style>
  <w:style w:type="paragraph" w:styleId="1212" w:customStyle="1">
    <w:name w:val="纯文本1"/>
    <w:basedOn w:val="957"/>
    <w:uiPriority w:val="0"/>
    <w:qFormat/>
    <w:rPr>
      <w:rFonts w:ascii="宋体" w:hAnsi="Courier New"/>
    </w:rPr>
  </w:style>
  <w:style w:type="paragraph" w:styleId="1213" w:customStyle="1">
    <w:name w:val="Normal_21_0"/>
    <w:next w:val="1214"/>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Heading 1_0"/>
    <w:basedOn w:val="1213"/>
    <w:next w:val="1213"/>
    <w:uiPriority w:val="0"/>
    <w:qFormat/>
    <w:pPr>
      <w:jc w:val="center"/>
      <w:keepLines/>
      <w:keepNext/>
      <w:spacing w:before="240" w:after="120" w:line="300" w:lineRule="auto"/>
      <w:outlineLvl w:val="0"/>
    </w:pPr>
    <w:rPr>
      <w:rFonts w:ascii="宋体"/>
      <w:b/>
      <w:sz w:val="32"/>
      <w:szCs w:val="20"/>
    </w:rPr>
  </w:style>
  <w:style w:type="paragraph" w:styleId="1215"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16" w:customStyle="1">
    <w:name w:val="正文文本 字符"/>
    <w:uiPriority w:val="0"/>
    <w:qFormat/>
    <w:rPr>
      <w:rFonts w:ascii="楷体_GB2312" w:hAnsi="Arial" w:eastAsia="楷体_GB2312" w:cs="Times New Roman"/>
      <w:sz w:val="28"/>
      <w:szCs w:val="28"/>
    </w:rPr>
  </w:style>
  <w:style w:type="character" w:styleId="1217" w:customStyle="1">
    <w:name w:val="正文文本缩进 字符"/>
    <w:uiPriority w:val="0"/>
    <w:qFormat/>
    <w:rPr>
      <w:rFonts w:ascii="楷体_GB2312" w:hAnsi="Times New Roman" w:eastAsia="楷体_GB2312" w:cs="Times New Roman"/>
      <w:sz w:val="32"/>
      <w:szCs w:val="32"/>
    </w:rPr>
  </w:style>
  <w:style w:type="character" w:styleId="1218" w:customStyle="1">
    <w:name w:val="正文文本 字符1"/>
    <w:uiPriority w:val="0"/>
    <w:qFormat/>
    <w:rPr>
      <w:rFonts w:ascii="Calibri" w:hAnsi="Calibri"/>
      <w:sz w:val="28"/>
      <w:szCs w:val="24"/>
    </w:rPr>
  </w:style>
  <w:style w:type="character" w:styleId="1219" w:customStyle="1">
    <w:name w:val="正文文本首行缩进 字符"/>
    <w:uiPriority w:val="0"/>
    <w:qFormat/>
    <w:rPr>
      <w:rFonts w:ascii="仿宋_GB2312" w:hAnsi="Calibri" w:eastAsia="仿宋_GB2312"/>
      <w:sz w:val="30"/>
      <w:szCs w:val="30"/>
    </w:rPr>
  </w:style>
  <w:style w:type="paragraph" w:styleId="1220" w:customStyle="1">
    <w:name w:val="索引 41"/>
    <w:basedOn w:val="798"/>
    <w:next w:val="798"/>
    <w:uiPriority w:val="0"/>
    <w:semiHidden/>
    <w:qFormat/>
    <w:pPr>
      <w:ind w:left="1260"/>
    </w:pPr>
    <w:rPr>
      <w:rFonts w:eastAsia="Calibri" w:cs="宋体"/>
      <w:sz w:val="20"/>
      <w:szCs w:val="21"/>
      <w:lang w:val="zh-CN"/>
    </w:rPr>
  </w:style>
  <w:style w:type="character" w:styleId="1221" w:customStyle="1">
    <w:name w:val="font5 Char"/>
    <w:uiPriority w:val="0"/>
    <w:qFormat/>
    <w:rPr>
      <w:rFonts w:ascii="宋体" w:hAnsi="宋体" w:eastAsia="宋体"/>
      <w:sz w:val="28"/>
      <w:szCs w:val="28"/>
      <w:lang w:val="en-US" w:eastAsia="zh-CN" w:bidi="ar-SA"/>
    </w:rPr>
  </w:style>
  <w:style w:type="character" w:styleId="1222" w:customStyle="1">
    <w:name w:val="二级目录 Char"/>
    <w:link w:val="1223"/>
    <w:uiPriority w:val="0"/>
    <w:qFormat/>
    <w:rPr>
      <w:b/>
      <w:sz w:val="30"/>
      <w:szCs w:val="28"/>
    </w:rPr>
  </w:style>
  <w:style w:type="paragraph" w:styleId="1223" w:customStyle="1">
    <w:name w:val="二级目录"/>
    <w:next w:val="798"/>
    <w:link w:val="1222"/>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24" w:customStyle="1">
    <w:name w:val="列出段落 Char"/>
    <w:link w:val="1225"/>
    <w:uiPriority w:val="0"/>
    <w:qFormat/>
    <w:rPr>
      <w:rFonts w:ascii="Calibri" w:hAnsi="Calibri"/>
      <w:sz w:val="24"/>
      <w:szCs w:val="24"/>
      <w:lang w:eastAsia="en-US" w:bidi="en-US"/>
    </w:rPr>
  </w:style>
  <w:style w:type="paragraph" w:styleId="1225" w:customStyle="1">
    <w:name w:val="列出段落1"/>
    <w:basedOn w:val="798"/>
    <w:link w:val="1224"/>
    <w:uiPriority w:val="0"/>
    <w:qFormat/>
    <w:pPr>
      <w:contextualSpacing/>
      <w:ind w:left="720"/>
      <w:jc w:val="left"/>
      <w:widowControl/>
    </w:pPr>
    <w:rPr>
      <w:sz w:val="24"/>
      <w:szCs w:val="24"/>
      <w:lang w:eastAsia="en-US" w:bidi="en-US"/>
    </w:rPr>
  </w:style>
  <w:style w:type="paragraph" w:styleId="1226" w:customStyle="1">
    <w:name w:val="Body Text(ch)"/>
    <w:basedOn w:val="798"/>
    <w:uiPriority w:val="0"/>
    <w:qFormat/>
    <w:pPr>
      <w:spacing w:after="120"/>
    </w:pPr>
    <w:rPr>
      <w:rFonts w:ascii="宋体" w:hAnsi="Arial"/>
      <w:bCs/>
      <w:iCs/>
      <w:szCs w:val="24"/>
    </w:rPr>
  </w:style>
  <w:style w:type="paragraph" w:styleId="1227"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8" w:customStyle="1">
    <w:name w:val="xl2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9" w:customStyle="1">
    <w:name w:val="Char"/>
    <w:basedOn w:val="798"/>
    <w:uiPriority w:val="0"/>
    <w:qFormat/>
    <w:pPr>
      <w:ind w:firstLine="200"/>
      <w:tabs>
        <w:tab w:val="left" w:pos="360" w:leader="none"/>
      </w:tabs>
    </w:pPr>
    <w:rPr>
      <w:rFonts w:ascii="Times New Roman" w:hAnsi="Times New Roman"/>
      <w:sz w:val="28"/>
      <w:szCs w:val="30"/>
    </w:rPr>
  </w:style>
  <w:style w:type="paragraph" w:styleId="1230" w:customStyle="1">
    <w:name w:val="Char1"/>
    <w:basedOn w:val="867"/>
    <w:uiPriority w:val="0"/>
    <w:qFormat/>
    <w:rPr>
      <w:rFonts w:ascii="Tahoma" w:hAnsi="Tahoma"/>
      <w:sz w:val="24"/>
      <w:szCs w:val="24"/>
    </w:rPr>
  </w:style>
  <w:style w:type="paragraph" w:styleId="1231" w:customStyle="1">
    <w:name w:val="table_lines"/>
    <w:basedOn w:val="798"/>
    <w:uiPriority w:val="0"/>
    <w:qFormat/>
    <w:pPr>
      <w:jc w:val="left"/>
      <w:widowControl/>
    </w:pPr>
    <w:rPr>
      <w:rFonts w:ascii="Times New Roman" w:hAnsi="Times New Roman"/>
      <w:sz w:val="20"/>
      <w:szCs w:val="20"/>
      <w:lang w:val="de-DE" w:eastAsia="de-DE"/>
    </w:rPr>
  </w:style>
  <w:style w:type="paragraph" w:styleId="1232"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33" w:customStyle="1">
    <w:name w:val="font7"/>
    <w:basedOn w:val="798"/>
    <w:uiPriority w:val="0"/>
    <w:qFormat/>
    <w:pPr>
      <w:jc w:val="left"/>
      <w:spacing w:before="100" w:beforeAutospacing="1" w:after="100" w:afterAutospacing="1"/>
      <w:widowControl/>
    </w:pPr>
    <w:rPr>
      <w:rFonts w:hint="eastAsia" w:ascii="宋体" w:hAnsi="宋体"/>
      <w:sz w:val="18"/>
      <w:szCs w:val="18"/>
    </w:rPr>
  </w:style>
  <w:style w:type="paragraph" w:styleId="1234" w:customStyle="1">
    <w:name w:val="Char Char Char Char"/>
    <w:basedOn w:val="867"/>
    <w:uiPriority w:val="0"/>
    <w:qFormat/>
    <w:pPr>
      <w:spacing w:line="360" w:lineRule="auto"/>
    </w:pPr>
    <w:rPr>
      <w:rFonts w:ascii="Tahoma" w:hAnsi="Tahoma"/>
      <w:sz w:val="24"/>
      <w:szCs w:val="24"/>
    </w:rPr>
  </w:style>
  <w:style w:type="paragraph" w:styleId="1235" w:customStyle="1">
    <w:name w:val="4"/>
    <w:basedOn w:val="798"/>
    <w:next w:val="902"/>
    <w:uiPriority w:val="0"/>
    <w:qFormat/>
    <w:pPr>
      <w:ind w:firstLine="420"/>
      <w:spacing w:line="360" w:lineRule="auto"/>
    </w:pPr>
    <w:rPr>
      <w:rFonts w:ascii="Times New Roman" w:hAnsi="Times New Roman"/>
      <w:color w:val="ff0000"/>
      <w:sz w:val="24"/>
      <w:szCs w:val="24"/>
    </w:rPr>
  </w:style>
  <w:style w:type="paragraph" w:styleId="1236" w:customStyle="1">
    <w:name w:val="普通 (Web)"/>
    <w:basedOn w:val="798"/>
    <w:uiPriority w:val="0"/>
    <w:qFormat/>
    <w:pPr>
      <w:jc w:val="left"/>
      <w:spacing w:before="100" w:beforeAutospacing="1" w:after="100" w:afterAutospacing="1"/>
      <w:widowControl/>
    </w:pPr>
    <w:rPr>
      <w:rFonts w:ascii="宋体" w:hAnsi="宋体"/>
      <w:sz w:val="24"/>
      <w:szCs w:val="24"/>
    </w:rPr>
  </w:style>
  <w:style w:type="paragraph" w:styleId="1237" w:customStyle="1">
    <w:name w:val="Char Char Char Char Char Char Char Char Char Char"/>
    <w:basedOn w:val="798"/>
    <w:uiPriority w:val="0"/>
    <w:qFormat/>
    <w:pPr>
      <w:spacing w:line="360" w:lineRule="auto"/>
    </w:pPr>
    <w:rPr>
      <w:rFonts w:ascii="Times New Roman" w:hAnsi="Times New Roman"/>
      <w:sz w:val="24"/>
      <w:szCs w:val="20"/>
    </w:rPr>
  </w:style>
  <w:style w:type="paragraph" w:styleId="1238" w:customStyle="1">
    <w:name w:val="样式1"/>
    <w:basedOn w:val="798"/>
    <w:uiPriority w:val="0"/>
    <w:qFormat/>
    <w:pPr>
      <w:numPr>
        <w:ilvl w:val="0"/>
        <w:numId w:val="2"/>
      </w:numPr>
      <w:tabs>
        <w:tab w:val="left" w:pos="709" w:leader="none"/>
      </w:tabs>
    </w:pPr>
    <w:rPr>
      <w:rFonts w:ascii="宋体" w:hAnsi="宋体"/>
      <w:szCs w:val="21"/>
    </w:rPr>
  </w:style>
  <w:style w:type="paragraph" w:styleId="1239" w:customStyle="1">
    <w:name w:val="font6"/>
    <w:basedOn w:val="798"/>
    <w:uiPriority w:val="0"/>
    <w:qFormat/>
    <w:pPr>
      <w:jc w:val="left"/>
      <w:spacing w:before="100" w:beforeAutospacing="1" w:after="100" w:afterAutospacing="1"/>
      <w:widowControl/>
    </w:pPr>
    <w:rPr>
      <w:rFonts w:hint="eastAsia" w:ascii="宋体" w:hAnsi="宋体"/>
      <w:sz w:val="28"/>
      <w:szCs w:val="28"/>
      <w:u w:val="single"/>
    </w:rPr>
  </w:style>
  <w:style w:type="paragraph" w:styleId="1240" w:customStyle="1">
    <w:name w:val="xl25"/>
    <w:basedOn w:val="7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1"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2" w:customStyle="1">
    <w:name w:val="标题3"/>
    <w:basedOn w:val="798"/>
    <w:next w:val="798"/>
    <w:uiPriority w:val="0"/>
    <w:qFormat/>
    <w:pPr>
      <w:ind w:firstLine="624"/>
      <w:spacing w:line="590" w:lineRule="atLeast"/>
    </w:pPr>
    <w:rPr>
      <w:rFonts w:ascii="方正黑体_GBK" w:hAnsi="Times New Roman" w:eastAsia="方正黑体_GBK"/>
      <w:sz w:val="32"/>
      <w:szCs w:val="32"/>
    </w:rPr>
  </w:style>
  <w:style w:type="paragraph" w:styleId="1243" w:customStyle="1">
    <w:name w:val="xl24"/>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4"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5" w:customStyle="1">
    <w:name w:val="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46"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7" w:customStyle="1">
    <w:name w:val="Char 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48"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249" w:customStyle="1">
    <w:name w:val="Char Char Char Char1"/>
    <w:basedOn w:val="867"/>
    <w:uiPriority w:val="0"/>
    <w:qFormat/>
    <w:pPr>
      <w:spacing w:line="360" w:lineRule="auto"/>
    </w:pPr>
    <w:rPr>
      <w:rFonts w:ascii="Tahoma" w:hAnsi="Tahoma"/>
      <w:sz w:val="24"/>
      <w:szCs w:val="24"/>
    </w:rPr>
  </w:style>
  <w:style w:type="paragraph" w:styleId="1250" w:customStyle="1">
    <w:name w:val="table_1stline"/>
    <w:basedOn w:val="798"/>
    <w:uiPriority w:val="0"/>
    <w:qFormat/>
    <w:pPr>
      <w:jc w:val="left"/>
      <w:spacing w:before="120"/>
      <w:widowControl/>
    </w:pPr>
    <w:rPr>
      <w:rFonts w:ascii="Times New Roman" w:hAnsi="Times New Roman"/>
      <w:bCs/>
      <w:sz w:val="20"/>
      <w:szCs w:val="20"/>
      <w:lang w:val="de-DE" w:eastAsia="de-DE"/>
    </w:rPr>
  </w:style>
  <w:style w:type="paragraph" w:styleId="1251" w:customStyle="1">
    <w:name w:val="font5"/>
    <w:basedOn w:val="798"/>
    <w:uiPriority w:val="0"/>
    <w:qFormat/>
    <w:pPr>
      <w:jc w:val="left"/>
      <w:spacing w:before="100" w:beforeAutospacing="1" w:after="100" w:afterAutospacing="1"/>
      <w:widowControl/>
    </w:pPr>
    <w:rPr>
      <w:rFonts w:hint="eastAsia" w:ascii="宋体" w:hAnsi="宋体"/>
      <w:sz w:val="28"/>
      <w:szCs w:val="28"/>
    </w:rPr>
  </w:style>
  <w:style w:type="paragraph" w:styleId="1252" w:customStyle="1">
    <w:name w:val="标题1"/>
    <w:basedOn w:val="798"/>
    <w:next w:val="79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3" w:customStyle="1">
    <w:name w:val="修订1"/>
    <w:uiPriority w:val="99"/>
    <w:semiHidden/>
    <w:qFormat/>
    <w:rPr>
      <w:rFonts w:ascii="Times New Roman" w:hAnsi="Times New Roman" w:eastAsia="宋体" w:cs="Times New Roman"/>
      <w:sz w:val="21"/>
      <w:szCs w:val="21"/>
      <w:lang w:val="en-US" w:eastAsia="zh-CN" w:bidi="ar-SA"/>
    </w:rPr>
  </w:style>
  <w:style w:type="table" w:styleId="1254" w:customStyle="1">
    <w:name w:val="Table Normal"/>
    <w:uiPriority w:val="0"/>
    <w:qFormat/>
    <w:tblPr>
      <w:tblCellMar>
        <w:left w:w="0" w:type="dxa"/>
        <w:top w:w="0" w:type="dxa"/>
        <w:right w:w="0" w:type="dxa"/>
        <w:bottom w:w="0" w:type="dxa"/>
      </w:tblCellMar>
    </w:tblPr>
  </w:style>
  <w:style w:type="paragraph" w:styleId="1255" w:customStyle="1">
    <w:name w:val="正文文本12"/>
    <w:basedOn w:val="798"/>
    <w:uiPriority w:val="1"/>
    <w:qFormat/>
    <w:pPr>
      <w:ind w:left="120"/>
    </w:pPr>
    <w:rPr>
      <w:rFonts w:ascii="宋体" w:hAnsi="宋体" w:cs="宋体"/>
      <w:szCs w:val="21"/>
      <w:lang w:val="zh-CN" w:bidi="zh-CN"/>
    </w:rPr>
  </w:style>
  <w:style w:type="paragraph" w:styleId="1256" w:customStyle="1">
    <w:name w:val="首行缩进"/>
    <w:basedOn w:val="798"/>
    <w:uiPriority w:val="0"/>
    <w:qFormat/>
    <w:pPr>
      <w:ind w:firstLine="480"/>
    </w:pPr>
    <w:rPr>
      <w:rFonts w:ascii="Times New Roman" w:hAnsi="Times New Roman"/>
      <w:szCs w:val="21"/>
      <w:lang w:val="zh-CN"/>
    </w:rPr>
  </w:style>
  <w:style w:type="paragraph" w:styleId="1257" w:customStyle="1">
    <w:name w:val="部分1"/>
    <w:basedOn w:val="79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8" w:customStyle="1">
    <w:name w:val="15"/>
    <w:uiPriority w:val="0"/>
    <w:qFormat/>
    <w:rPr>
      <w:rFonts w:ascii="Times New Roman" w:hAnsi="Times New Roman" w:cs="Times New Roman"/>
    </w:rPr>
  </w:style>
  <w:style w:type="paragraph" w:styleId="1259" w:customStyle="1">
    <w:name w:val="正文文本缩进 2_0"/>
    <w:basedOn w:val="1096"/>
    <w:uiPriority w:val="0"/>
    <w:qFormat/>
    <w:pPr>
      <w:ind w:firstLine="720"/>
      <w:jc w:val="left"/>
      <w:spacing w:line="540" w:lineRule="exact"/>
    </w:pPr>
    <w:rPr>
      <w:rFonts w:ascii="仿宋_GB2312" w:hAnsi="仿宋_GB2312" w:cs="宋体"/>
      <w:sz w:val="32"/>
      <w:szCs w:val="32"/>
    </w:rPr>
  </w:style>
  <w:style w:type="character" w:styleId="1260" w:customStyle="1">
    <w:name w:val="10"/>
    <w:uiPriority w:val="0"/>
    <w:qFormat/>
    <w:rPr>
      <w:rFonts w:ascii="Times New Roman" w:hAnsi="Times New Roman" w:cs="Times New Roman"/>
    </w:rPr>
  </w:style>
  <w:style w:type="paragraph" w:styleId="1261" w:customStyle="1">
    <w:name w:val="正文_16_1"/>
    <w:basedOn w:val="798"/>
    <w:uiPriority w:val="0"/>
    <w:qFormat/>
    <w:rPr>
      <w:rFonts w:ascii="Times New Roman" w:hAnsi="Times New Roman"/>
      <w:szCs w:val="21"/>
    </w:rPr>
  </w:style>
  <w:style w:type="paragraph" w:styleId="1262" w:customStyle="1">
    <w:name w:val="页脚1"/>
    <w:basedOn w:val="798"/>
    <w:uiPriority w:val="0"/>
    <w:qFormat/>
    <w:pPr>
      <w:jc w:val="left"/>
      <w:tabs>
        <w:tab w:val="center" w:pos="4153" w:leader="none"/>
        <w:tab w:val="right" w:pos="8306" w:leader="none"/>
      </w:tabs>
    </w:pPr>
    <w:rPr>
      <w:sz w:val="18"/>
      <w:szCs w:val="18"/>
    </w:rPr>
  </w:style>
  <w:style w:type="character" w:styleId="1263" w:customStyle="1">
    <w:name w:val="页码1"/>
    <w:uiPriority w:val="0"/>
    <w:qFormat/>
  </w:style>
  <w:style w:type="paragraph" w:styleId="1264" w:customStyle="1">
    <w:name w:val="*正文"/>
    <w:basedOn w:val="1265"/>
    <w:uiPriority w:val="0"/>
    <w:qFormat/>
    <w:pPr>
      <w:ind w:firstLine="200"/>
    </w:pPr>
    <w:rPr>
      <w:rFonts w:hAnsi="宋体"/>
      <w:szCs w:val="24"/>
    </w:rPr>
  </w:style>
  <w:style w:type="paragraph" w:styleId="1265" w:customStyle="1">
    <w:name w:val="正文缩进111"/>
    <w:basedOn w:val="798"/>
    <w:uiPriority w:val="0"/>
    <w:qFormat/>
    <w:pPr>
      <w:ind w:firstLine="420"/>
    </w:pPr>
    <w:rPr>
      <w:rFonts w:ascii="宋体"/>
      <w:color w:val="000000"/>
      <w:sz w:val="24"/>
      <w:szCs w:val="20"/>
    </w:rPr>
  </w:style>
  <w:style w:type="paragraph" w:styleId="1266" w:customStyle="1">
    <w:name w:val="*正文_0"/>
    <w:basedOn w:val="1267"/>
    <w:uiPriority w:val="0"/>
    <w:qFormat/>
    <w:pPr>
      <w:ind w:firstLine="200"/>
      <w:spacing w:line="360" w:lineRule="auto"/>
    </w:pPr>
    <w:rPr>
      <w:rFonts w:ascii="宋体" w:hAnsi="宋体" w:eastAsia="Arial" w:cs="Arial"/>
      <w:color w:val="000000"/>
      <w:sz w:val="24"/>
    </w:rPr>
  </w:style>
  <w:style w:type="paragraph" w:styleId="1267" w:customStyle="1">
    <w:name w:val="正文缩进_2"/>
    <w:basedOn w:val="1119"/>
    <w:uiPriority w:val="0"/>
    <w:unhideWhenUsed/>
    <w:qFormat/>
    <w:pPr>
      <w:ind w:firstLine="420"/>
      <w:jc w:val="left"/>
      <w:widowControl/>
    </w:pPr>
    <w:rPr>
      <w:rFonts w:ascii="Times New Roman" w:hAnsi="Times New Roman"/>
      <w:sz w:val="20"/>
      <w:szCs w:val="24"/>
    </w:rPr>
  </w:style>
  <w:style w:type="paragraph" w:styleId="1268" w:customStyle="1">
    <w:name w:val="*正文_0_0"/>
    <w:basedOn w:val="1119"/>
    <w:uiPriority w:val="0"/>
    <w:qFormat/>
    <w:pPr>
      <w:ind w:firstLine="200"/>
      <w:jc w:val="left"/>
      <w:spacing w:line="360" w:lineRule="auto"/>
      <w:widowControl/>
    </w:pPr>
    <w:rPr>
      <w:rFonts w:ascii="宋体" w:hAnsi="宋体" w:eastAsia="Arial" w:cs="Arial"/>
      <w:color w:val="000000"/>
      <w:sz w:val="24"/>
      <w:szCs w:val="24"/>
    </w:rPr>
  </w:style>
  <w:style w:type="paragraph" w:styleId="1269" w:customStyle="1">
    <w:name w:val="无间隔1_0_0"/>
    <w:basedOn w:val="1119"/>
    <w:uiPriority w:val="0"/>
    <w:qFormat/>
    <w:rPr>
      <w:rFonts w:ascii="Times New Roman" w:hAnsi="Times New Roman"/>
      <w:szCs w:val="21"/>
    </w:rPr>
  </w:style>
  <w:style w:type="paragraph" w:styleId="1270"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71" w:customStyle="1">
    <w:name w:val="标题 4_0"/>
    <w:basedOn w:val="1272"/>
    <w:next w:val="1272"/>
    <w:uiPriority w:val="9"/>
    <w:unhideWhenUsed/>
    <w:qFormat/>
    <w:pPr>
      <w:keepLines/>
      <w:keepNext/>
      <w:spacing w:before="280" w:after="290" w:line="372" w:lineRule="auto"/>
      <w:outlineLvl w:val="3"/>
    </w:pPr>
    <w:rPr>
      <w:rFonts w:ascii="Arial" w:hAnsi="Arial" w:eastAsia="黑体"/>
      <w:b/>
      <w:sz w:val="28"/>
    </w:rPr>
  </w:style>
  <w:style w:type="paragraph" w:styleId="1272" w:customStyle="1">
    <w:name w:val="正文4"/>
    <w:uiPriority w:val="0"/>
    <w:qFormat/>
    <w:pPr>
      <w:jc w:val="both"/>
      <w:widowControl w:val="off"/>
    </w:pPr>
    <w:rPr>
      <w:rFonts w:ascii="Calibri" w:hAnsi="Calibri" w:eastAsia="宋体" w:cs="Times New Roman"/>
      <w:lang w:val="en-US" w:eastAsia="zh-CN" w:bidi="ar-SA"/>
    </w:rPr>
  </w:style>
  <w:style w:type="paragraph" w:styleId="1273"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74" w:customStyle="1">
    <w:name w:val="p17_0_0"/>
    <w:basedOn w:val="1162"/>
    <w:uiPriority w:val="0"/>
    <w:qFormat/>
    <w:pPr>
      <w:jc w:val="left"/>
      <w:spacing w:before="100" w:beforeAutospacing="1" w:after="100" w:afterAutospacing="1"/>
      <w:widowControl/>
    </w:pPr>
    <w:rPr>
      <w:rFonts w:ascii="宋体" w:hAnsi="宋体" w:eastAsia="Times New Roman" w:cs="宋体"/>
      <w:sz w:val="24"/>
    </w:rPr>
  </w:style>
  <w:style w:type="paragraph" w:styleId="1275" w:customStyle="1">
    <w:name w:val="p17_0"/>
    <w:basedOn w:val="840"/>
    <w:uiPriority w:val="0"/>
    <w:qFormat/>
    <w:pPr>
      <w:spacing w:before="100" w:beforeAutospacing="1" w:after="100" w:afterAutospacing="1"/>
    </w:pPr>
    <w:rPr>
      <w:rFonts w:ascii="宋体" w:hAnsi="宋体" w:eastAsia="Times New Roman" w:cs="宋体"/>
      <w:sz w:val="24"/>
    </w:rPr>
  </w:style>
  <w:style w:type="paragraph" w:styleId="1276" w:customStyle="1">
    <w:name w:val="普通(网站)11"/>
    <w:basedOn w:val="798"/>
    <w:uiPriority w:val="99"/>
    <w:qFormat/>
    <w:rPr>
      <w:sz w:val="24"/>
    </w:rPr>
  </w:style>
  <w:style w:type="paragraph" w:styleId="12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78" w:customStyle="1">
    <w:name w:val="普通(网站)111"/>
    <w:basedOn w:val="798"/>
    <w:uiPriority w:val="99"/>
    <w:qFormat/>
    <w:pPr>
      <w:jc w:val="left"/>
      <w:spacing w:before="100" w:beforeAutospacing="1" w:after="100" w:afterAutospacing="1"/>
      <w:widowControl/>
    </w:pPr>
    <w:rPr>
      <w:rFonts w:ascii="宋体" w:hAnsi="宋体" w:cs="宋体"/>
      <w:sz w:val="24"/>
      <w:szCs w:val="24"/>
    </w:rPr>
  </w:style>
  <w:style w:type="paragraph" w:styleId="1279" w:customStyle="1">
    <w:name w:val="批注文字1"/>
    <w:basedOn w:val="798"/>
    <w:uiPriority w:val="99"/>
    <w:qFormat/>
    <w:pPr>
      <w:jc w:val="left"/>
    </w:pPr>
    <w:rPr>
      <w:rFonts w:ascii="Times New Roman" w:hAnsi="Times New Roman"/>
      <w:szCs w:val="21"/>
    </w:rPr>
  </w:style>
  <w:style w:type="paragraph" w:styleId="1280" w:customStyle="1">
    <w:name w:val="标题 511"/>
    <w:basedOn w:val="798"/>
    <w:next w:val="798"/>
    <w:uiPriority w:val="9"/>
    <w:qFormat/>
    <w:pPr>
      <w:keepLines/>
      <w:keepNext/>
      <w:spacing w:before="320" w:after="200"/>
      <w:outlineLvl w:val="4"/>
    </w:pPr>
    <w:rPr>
      <w:rFonts w:ascii="Arial" w:hAnsi="Arial" w:eastAsia="Arial" w:cs="Arial"/>
      <w:b/>
      <w:bCs/>
      <w:sz w:val="24"/>
      <w:szCs w:val="24"/>
    </w:rPr>
  </w:style>
  <w:style w:type="paragraph" w:styleId="1281" w:customStyle="1">
    <w:name w:val="正文文本4"/>
    <w:basedOn w:val="956"/>
    <w:uiPriority w:val="0"/>
    <w:qFormat/>
    <w:pPr>
      <w:spacing w:line="60" w:lineRule="auto"/>
    </w:pPr>
    <w:rPr>
      <w:rFonts w:ascii="仿宋_GB2312" w:eastAsia="仿宋_GB2312"/>
      <w:sz w:val="32"/>
      <w:szCs w:val="22"/>
    </w:rPr>
  </w:style>
  <w:style w:type="paragraph" w:styleId="1282" w:customStyle="1">
    <w:name w:val="正文文本11"/>
    <w:uiPriority w:val="0"/>
    <w:qFormat/>
    <w:pPr>
      <w:jc w:val="both"/>
      <w:widowControl w:val="off"/>
    </w:pPr>
    <w:rPr>
      <w:rFonts w:ascii="仿宋" w:hAnsi="仿宋" w:eastAsia="仿宋" w:cs="仿宋"/>
      <w:sz w:val="32"/>
      <w:szCs w:val="32"/>
      <w:lang w:val="en-US" w:eastAsia="en-US" w:bidi="ar-SA"/>
    </w:rPr>
  </w:style>
  <w:style w:type="paragraph" w:styleId="1283" w:customStyle="1">
    <w:name w:val="页脚11"/>
    <w:basedOn w:val="798"/>
    <w:uiPriority w:val="99"/>
    <w:qFormat/>
    <w:pPr>
      <w:jc w:val="left"/>
      <w:tabs>
        <w:tab w:val="center" w:pos="4153" w:leader="none"/>
        <w:tab w:val="right" w:pos="8306" w:leader="none"/>
      </w:tabs>
    </w:pPr>
    <w:rPr>
      <w:sz w:val="18"/>
      <w:szCs w:val="18"/>
    </w:rPr>
  </w:style>
  <w:style w:type="paragraph" w:styleId="1284" w:customStyle="1">
    <w:name w:val="修订2"/>
    <w:uiPriority w:val="99"/>
    <w:unhideWhenUsed/>
    <w:qFormat/>
    <w:rPr>
      <w:rFonts w:ascii="Calibri" w:hAnsi="Calibri" w:eastAsia="宋体" w:cs="Times New Roman"/>
      <w:sz w:val="21"/>
      <w:szCs w:val="22"/>
      <w:lang w:val="en-US" w:eastAsia="zh-CN" w:bidi="ar-SA"/>
    </w:rPr>
  </w:style>
  <w:style w:type="paragraph" w:styleId="1285" w:customStyle="1">
    <w:name w:val="标题 211"/>
    <w:next w:val="798"/>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1286" w:customStyle="1">
    <w:name w:val="Table Text"/>
    <w:basedOn w:val="798"/>
    <w:uiPriority w:val="0"/>
    <w:semiHidden/>
    <w:qFormat/>
    <w:rPr>
      <w:rFonts w:ascii="宋体" w:hAnsi="宋体" w:cs="宋体"/>
      <w:sz w:val="25"/>
      <w:szCs w:val="25"/>
    </w:rPr>
  </w:style>
  <w:style w:type="numbering" w:styleId="12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严函</cp:lastModifiedBy>
  <cp:revision>9</cp:revision>
  <dcterms:created xsi:type="dcterms:W3CDTF">2025-12-25T03:33:00Z</dcterms:created>
  <dcterms:modified xsi:type="dcterms:W3CDTF">2026-01-12T02:21:31Z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eyJoZGlkIjoiYjNlZDkxYTU2NzllOGJiYjVkNmE0Y2FiNDQ4Zjk2YWQifQ==</vt:lpwstr>
  </property>
  <property fmtid="{D5CDD505-2E9C-101B-9397-08002B2CF9AE}" pid="3" name="KSOProductBuildVer">
    <vt:lpwstr>2052-12.1.0.24034</vt:lpwstr>
  </property>
  <property fmtid="{D5CDD505-2E9C-101B-9397-08002B2CF9AE}" pid="4" name="ICV">
    <vt:lpwstr>957988BEDBF5427485465149FA28F200_13</vt:lpwstr>
  </property>
</Properties>
</file>